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4BABD">
      <w:pPr>
        <w:adjustRightInd w:val="0"/>
        <w:snapToGrid w:val="0"/>
        <w:spacing w:before="156" w:beforeLines="50" w:after="156" w:afterLines="50" w:line="360" w:lineRule="exact"/>
        <w:jc w:val="both"/>
        <w:rPr>
          <w:rFonts w:hint="eastAsia" w:ascii="Times New Roman" w:hAnsi="Times New Roman" w:eastAsia="仿宋_GB2312"/>
          <w:snapToGrid w:val="0"/>
          <w:color w:val="000000"/>
          <w:kern w:val="0"/>
          <w:sz w:val="32"/>
          <w:szCs w:val="32"/>
          <w:highlight w:val="none"/>
          <w:lang w:val="en-US" w:eastAsia="zh-CN"/>
        </w:rPr>
      </w:pPr>
      <w:r>
        <w:rPr>
          <w:rFonts w:hint="eastAsia" w:ascii="Times New Roman" w:hAnsi="Times New Roman" w:eastAsia="仿宋_GB2312"/>
          <w:snapToGrid w:val="0"/>
          <w:color w:val="000000"/>
          <w:kern w:val="0"/>
          <w:sz w:val="32"/>
          <w:szCs w:val="32"/>
          <w:highlight w:val="none"/>
          <w:lang w:val="en-US" w:eastAsia="zh-CN"/>
        </w:rPr>
        <w:t>附件：</w:t>
      </w:r>
    </w:p>
    <w:p w14:paraId="2A14DF17">
      <w:pPr>
        <w:adjustRightInd w:val="0"/>
        <w:snapToGrid w:val="0"/>
        <w:spacing w:line="240" w:lineRule="auto"/>
        <w:jc w:val="center"/>
        <w:rPr>
          <w:rFonts w:hint="eastAsia" w:ascii="方正小标宋简体" w:hAnsi="方正小标宋简体" w:eastAsia="方正小标宋简体" w:cs="方正小标宋简体"/>
          <w:snapToGrid w:val="0"/>
          <w:color w:val="000000"/>
          <w:kern w:val="0"/>
          <w:sz w:val="44"/>
          <w:szCs w:val="44"/>
          <w:highlight w:val="none"/>
          <w:lang w:val="en-US" w:eastAsia="zh-CN"/>
        </w:rPr>
      </w:pPr>
      <w:r>
        <w:rPr>
          <w:rFonts w:hint="eastAsia" w:ascii="方正小标宋简体" w:hAnsi="方正小标宋简体" w:eastAsia="方正小标宋简体" w:cs="方正小标宋简体"/>
          <w:snapToGrid w:val="0"/>
          <w:color w:val="000000"/>
          <w:kern w:val="0"/>
          <w:sz w:val="44"/>
          <w:szCs w:val="44"/>
          <w:highlight w:val="none"/>
          <w:lang w:val="en-US" w:eastAsia="zh-CN"/>
        </w:rPr>
        <w:t>选聘文件</w:t>
      </w:r>
      <w:bookmarkStart w:id="0" w:name="_GoBack"/>
      <w:bookmarkEnd w:id="0"/>
    </w:p>
    <w:p w14:paraId="5B12F636">
      <w:pPr>
        <w:pStyle w:val="2"/>
        <w:rPr>
          <w:rFonts w:hint="eastAsia"/>
          <w:lang w:val="en-US" w:eastAsia="zh-CN"/>
        </w:rPr>
      </w:pPr>
    </w:p>
    <w:p w14:paraId="01F9613D">
      <w:pPr>
        <w:adjustRightInd w:val="0"/>
        <w:snapToGrid w:val="0"/>
        <w:spacing w:before="156" w:beforeLines="50" w:after="156" w:afterLines="50" w:line="360" w:lineRule="exact"/>
        <w:jc w:val="left"/>
        <w:rPr>
          <w:rFonts w:ascii="Times New Roman" w:hAnsi="Times New Roman" w:eastAsia="仿宋_GB2312"/>
          <w:snapToGrid w:val="0"/>
          <w:color w:val="000000"/>
          <w:kern w:val="0"/>
          <w:sz w:val="28"/>
          <w:szCs w:val="28"/>
          <w:highlight w:val="none"/>
        </w:rPr>
      </w:pPr>
      <w:r>
        <w:rPr>
          <w:rFonts w:hint="eastAsia" w:ascii="Times New Roman" w:hAnsi="Times New Roman" w:eastAsia="仿宋_GB2312"/>
          <w:snapToGrid w:val="0"/>
          <w:color w:val="000000"/>
          <w:kern w:val="0"/>
          <w:sz w:val="28"/>
          <w:szCs w:val="28"/>
          <w:highlight w:val="none"/>
        </w:rPr>
        <w:t>项目</w:t>
      </w:r>
      <w:r>
        <w:rPr>
          <w:rFonts w:hint="eastAsia" w:ascii="Times New Roman" w:hAnsi="Times New Roman" w:eastAsia="仿宋_GB2312"/>
          <w:bCs/>
          <w:snapToGrid w:val="0"/>
          <w:color w:val="000000"/>
          <w:kern w:val="0"/>
          <w:sz w:val="28"/>
          <w:szCs w:val="28"/>
          <w:highlight w:val="none"/>
        </w:rPr>
        <w:t>名称：2026年度财务决算审计</w:t>
      </w:r>
      <w:r>
        <w:rPr>
          <w:rFonts w:hint="eastAsia" w:ascii="Times New Roman" w:hAnsi="Times New Roman" w:eastAsia="仿宋_GB2312"/>
          <w:bCs/>
          <w:snapToGrid w:val="0"/>
          <w:color w:val="000000"/>
          <w:kern w:val="0"/>
          <w:sz w:val="28"/>
          <w:szCs w:val="28"/>
          <w:highlight w:val="none"/>
          <w:lang w:val="en-US" w:eastAsia="zh-CN"/>
        </w:rPr>
        <w:t>服务采购</w:t>
      </w:r>
      <w:r>
        <w:rPr>
          <w:rFonts w:hint="eastAsia" w:ascii="Times New Roman" w:hAnsi="Times New Roman" w:eastAsia="仿宋_GB2312"/>
          <w:bCs/>
          <w:snapToGrid w:val="0"/>
          <w:color w:val="000000"/>
          <w:kern w:val="0"/>
          <w:sz w:val="28"/>
          <w:szCs w:val="28"/>
          <w:highlight w:val="none"/>
        </w:rPr>
        <w:t>项目</w:t>
      </w:r>
      <w:r>
        <w:rPr>
          <w:rFonts w:hint="eastAsia" w:ascii="Times New Roman" w:hAnsi="Times New Roman" w:eastAsia="仿宋_GB2312"/>
          <w:snapToGrid w:val="0"/>
          <w:color w:val="000000"/>
          <w:kern w:val="0"/>
          <w:sz w:val="28"/>
          <w:szCs w:val="28"/>
          <w:highlight w:val="none"/>
        </w:rPr>
        <w:t xml:space="preserve">  </w:t>
      </w:r>
      <w:r>
        <w:rPr>
          <w:rFonts w:hint="eastAsia" w:ascii="Times New Roman" w:hAnsi="Times New Roman" w:eastAsia="仿宋_GB2312"/>
          <w:bCs/>
          <w:snapToGrid w:val="0"/>
          <w:color w:val="000000"/>
          <w:kern w:val="0"/>
          <w:sz w:val="28"/>
          <w:szCs w:val="28"/>
          <w:highlight w:val="none"/>
        </w:rPr>
        <w:t xml:space="preserve">日期： </w:t>
      </w:r>
      <w:r>
        <w:rPr>
          <w:rFonts w:hint="eastAsia" w:ascii="Times New Roman" w:hAnsi="Times New Roman" w:eastAsia="仿宋_GB2312"/>
          <w:bCs/>
          <w:snapToGrid w:val="0"/>
          <w:color w:val="000000"/>
          <w:kern w:val="0"/>
          <w:sz w:val="28"/>
          <w:szCs w:val="28"/>
          <w:highlight w:val="none"/>
          <w:lang w:val="en-US" w:eastAsia="zh-CN"/>
        </w:rPr>
        <w:t xml:space="preserve"> </w:t>
      </w:r>
      <w:r>
        <w:rPr>
          <w:rFonts w:hint="eastAsia" w:ascii="Times New Roman" w:hAnsi="Times New Roman" w:eastAsia="仿宋_GB2312"/>
          <w:bCs/>
          <w:snapToGrid w:val="0"/>
          <w:color w:val="000000"/>
          <w:kern w:val="0"/>
          <w:sz w:val="28"/>
          <w:szCs w:val="28"/>
          <w:highlight w:val="none"/>
        </w:rPr>
        <w:t xml:space="preserve">年 月 </w:t>
      </w:r>
      <w:r>
        <w:rPr>
          <w:rFonts w:hint="eastAsia" w:ascii="Times New Roman" w:hAnsi="Times New Roman" w:eastAsia="仿宋_GB2312"/>
          <w:bCs/>
          <w:snapToGrid w:val="0"/>
          <w:color w:val="000000"/>
          <w:kern w:val="0"/>
          <w:sz w:val="28"/>
          <w:szCs w:val="28"/>
          <w:highlight w:val="none"/>
          <w:lang w:val="en-US" w:eastAsia="zh-CN"/>
        </w:rPr>
        <w:t xml:space="preserve"> </w:t>
      </w:r>
      <w:r>
        <w:rPr>
          <w:rFonts w:hint="eastAsia" w:ascii="Times New Roman" w:hAnsi="Times New Roman" w:eastAsia="仿宋_GB2312"/>
          <w:bCs/>
          <w:snapToGrid w:val="0"/>
          <w:color w:val="000000"/>
          <w:kern w:val="0"/>
          <w:sz w:val="28"/>
          <w:szCs w:val="28"/>
          <w:highlight w:val="none"/>
        </w:rPr>
        <w:t>日</w:t>
      </w:r>
    </w:p>
    <w:tbl>
      <w:tblPr>
        <w:tblStyle w:val="3"/>
        <w:tblW w:w="106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0"/>
        <w:gridCol w:w="982"/>
        <w:gridCol w:w="997"/>
        <w:gridCol w:w="775"/>
        <w:gridCol w:w="957"/>
        <w:gridCol w:w="749"/>
        <w:gridCol w:w="1094"/>
        <w:gridCol w:w="1263"/>
        <w:gridCol w:w="1365"/>
        <w:gridCol w:w="1329"/>
      </w:tblGrid>
      <w:tr w14:paraId="073B0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1130" w:type="dxa"/>
            <w:vMerge w:val="restart"/>
            <w:noWrap/>
            <w:vAlign w:val="center"/>
          </w:tcPr>
          <w:p w14:paraId="3E71D1DC">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r>
              <w:rPr>
                <w:rFonts w:hint="eastAsia" w:ascii="Times New Roman" w:hAnsi="Times New Roman" w:eastAsia="仿宋_GB2312"/>
                <w:bCs/>
                <w:snapToGrid w:val="0"/>
                <w:color w:val="000000"/>
                <w:kern w:val="0"/>
                <w:sz w:val="24"/>
                <w:szCs w:val="24"/>
                <w:highlight w:val="none"/>
              </w:rPr>
              <w:t>报价单位</w:t>
            </w:r>
          </w:p>
        </w:tc>
        <w:tc>
          <w:tcPr>
            <w:tcW w:w="982" w:type="dxa"/>
            <w:vMerge w:val="restart"/>
            <w:vAlign w:val="center"/>
          </w:tcPr>
          <w:p w14:paraId="4B46B305">
            <w:pPr>
              <w:adjustRightInd w:val="0"/>
              <w:snapToGrid w:val="0"/>
              <w:spacing w:before="156" w:beforeLines="50" w:after="156" w:afterLines="50" w:line="360" w:lineRule="exact"/>
              <w:jc w:val="left"/>
              <w:rPr>
                <w:rFonts w:ascii="Times New Roman" w:hAnsi="Times New Roman" w:eastAsia="仿宋_GB2312"/>
                <w:bCs/>
                <w:snapToGrid w:val="0"/>
                <w:color w:val="000000"/>
                <w:kern w:val="0"/>
                <w:sz w:val="24"/>
                <w:szCs w:val="24"/>
                <w:highlight w:val="none"/>
              </w:rPr>
            </w:pPr>
            <w:r>
              <w:rPr>
                <w:rFonts w:hint="eastAsia" w:ascii="Times New Roman" w:hAnsi="Times New Roman" w:eastAsia="仿宋_GB2312"/>
                <w:bCs/>
                <w:snapToGrid w:val="0"/>
                <w:color w:val="000000"/>
                <w:kern w:val="0"/>
                <w:sz w:val="24"/>
                <w:szCs w:val="24"/>
                <w:highlight w:val="none"/>
              </w:rPr>
              <w:t>报价（元）</w:t>
            </w:r>
          </w:p>
        </w:tc>
        <w:tc>
          <w:tcPr>
            <w:tcW w:w="997" w:type="dxa"/>
            <w:vMerge w:val="restart"/>
            <w:vAlign w:val="center"/>
          </w:tcPr>
          <w:p w14:paraId="74789934">
            <w:pPr>
              <w:adjustRightInd w:val="0"/>
              <w:snapToGrid w:val="0"/>
              <w:spacing w:before="156" w:beforeLines="50" w:after="156" w:afterLines="50" w:line="360" w:lineRule="exact"/>
              <w:jc w:val="left"/>
              <w:rPr>
                <w:rFonts w:ascii="Times New Roman" w:hAnsi="Times New Roman" w:eastAsia="仿宋_GB2312"/>
                <w:bCs/>
                <w:snapToGrid w:val="0"/>
                <w:color w:val="000000"/>
                <w:kern w:val="0"/>
                <w:sz w:val="24"/>
                <w:szCs w:val="24"/>
                <w:highlight w:val="none"/>
              </w:rPr>
            </w:pPr>
            <w:r>
              <w:rPr>
                <w:rFonts w:hint="eastAsia" w:ascii="Times New Roman" w:hAnsi="Times New Roman" w:eastAsia="仿宋_GB2312"/>
                <w:bCs/>
                <w:snapToGrid w:val="0"/>
                <w:color w:val="000000"/>
                <w:kern w:val="0"/>
                <w:sz w:val="24"/>
                <w:szCs w:val="24"/>
                <w:highlight w:val="none"/>
              </w:rPr>
              <w:t>（分值比例10%）报价评分</w:t>
            </w:r>
          </w:p>
          <w:p w14:paraId="2602D6AC">
            <w:pPr>
              <w:adjustRightInd w:val="0"/>
              <w:snapToGrid w:val="0"/>
              <w:spacing w:before="156" w:beforeLines="50" w:after="156" w:afterLines="50" w:line="360" w:lineRule="exact"/>
              <w:jc w:val="left"/>
              <w:rPr>
                <w:rFonts w:ascii="Times New Roman" w:hAnsi="Times New Roman" w:eastAsia="仿宋_GB2312"/>
                <w:bCs/>
                <w:snapToGrid w:val="0"/>
                <w:color w:val="000000"/>
                <w:kern w:val="0"/>
                <w:sz w:val="24"/>
                <w:szCs w:val="24"/>
                <w:highlight w:val="none"/>
              </w:rPr>
            </w:pPr>
            <w:r>
              <w:rPr>
                <w:rFonts w:hint="eastAsia" w:ascii="Times New Roman" w:hAnsi="Times New Roman" w:eastAsia="仿宋_GB2312"/>
                <w:bCs/>
                <w:snapToGrid w:val="0"/>
                <w:color w:val="000000"/>
                <w:kern w:val="0"/>
                <w:sz w:val="24"/>
                <w:szCs w:val="24"/>
                <w:highlight w:val="none"/>
              </w:rPr>
              <w:t>（满分10分）</w:t>
            </w:r>
          </w:p>
        </w:tc>
        <w:tc>
          <w:tcPr>
            <w:tcW w:w="4838" w:type="dxa"/>
            <w:gridSpan w:val="5"/>
            <w:noWrap/>
            <w:vAlign w:val="center"/>
          </w:tcPr>
          <w:p w14:paraId="4FAA09F4">
            <w:pPr>
              <w:adjustRightInd w:val="0"/>
              <w:snapToGrid w:val="0"/>
              <w:spacing w:before="156" w:beforeLines="50" w:after="156" w:afterLines="50" w:line="360" w:lineRule="exact"/>
              <w:ind w:right="-674" w:rightChars="-321"/>
              <w:rPr>
                <w:rFonts w:ascii="Times New Roman" w:hAnsi="Times New Roman" w:eastAsia="仿宋_GB2312"/>
                <w:bCs/>
                <w:snapToGrid w:val="0"/>
                <w:color w:val="000000"/>
                <w:kern w:val="0"/>
                <w:sz w:val="24"/>
                <w:szCs w:val="24"/>
                <w:highlight w:val="none"/>
              </w:rPr>
            </w:pPr>
            <w:r>
              <w:rPr>
                <w:rFonts w:hint="eastAsia" w:ascii="Times New Roman" w:hAnsi="Times New Roman" w:eastAsia="仿宋_GB2312"/>
                <w:bCs/>
                <w:snapToGrid w:val="0"/>
                <w:color w:val="000000"/>
                <w:kern w:val="0"/>
                <w:sz w:val="24"/>
                <w:szCs w:val="24"/>
                <w:highlight w:val="none"/>
              </w:rPr>
              <w:t>（分值比例90%）商务及技术评分</w:t>
            </w:r>
          </w:p>
          <w:p w14:paraId="152180E9">
            <w:pPr>
              <w:adjustRightInd w:val="0"/>
              <w:snapToGrid w:val="0"/>
              <w:spacing w:before="156" w:beforeLines="50" w:after="156" w:afterLines="50" w:line="360" w:lineRule="exact"/>
              <w:ind w:right="-674" w:rightChars="-321"/>
              <w:rPr>
                <w:rFonts w:ascii="Times New Roman" w:hAnsi="Times New Roman" w:eastAsia="仿宋_GB2312"/>
                <w:bCs/>
                <w:snapToGrid w:val="0"/>
                <w:color w:val="000000"/>
                <w:kern w:val="0"/>
                <w:sz w:val="24"/>
                <w:szCs w:val="24"/>
                <w:highlight w:val="none"/>
              </w:rPr>
            </w:pPr>
            <w:r>
              <w:rPr>
                <w:rFonts w:hint="eastAsia" w:ascii="Times New Roman" w:hAnsi="Times New Roman" w:eastAsia="仿宋_GB2312"/>
                <w:bCs/>
                <w:snapToGrid w:val="0"/>
                <w:color w:val="000000"/>
                <w:kern w:val="0"/>
                <w:sz w:val="24"/>
                <w:szCs w:val="24"/>
                <w:highlight w:val="none"/>
              </w:rPr>
              <w:t>（满分90分）</w:t>
            </w:r>
          </w:p>
        </w:tc>
        <w:tc>
          <w:tcPr>
            <w:tcW w:w="1365" w:type="dxa"/>
            <w:vMerge w:val="restart"/>
            <w:vAlign w:val="center"/>
          </w:tcPr>
          <w:p w14:paraId="5AFC8A97">
            <w:pPr>
              <w:adjustRightInd w:val="0"/>
              <w:snapToGrid w:val="0"/>
              <w:spacing w:before="156" w:beforeLines="50" w:after="156" w:afterLines="50" w:line="360" w:lineRule="exact"/>
              <w:ind w:right="-674" w:rightChars="-321"/>
              <w:rPr>
                <w:rFonts w:ascii="Times New Roman" w:hAnsi="Times New Roman" w:eastAsia="仿宋_GB2312"/>
                <w:bCs/>
                <w:snapToGrid w:val="0"/>
                <w:color w:val="000000"/>
                <w:kern w:val="0"/>
                <w:sz w:val="24"/>
                <w:szCs w:val="24"/>
                <w:highlight w:val="none"/>
              </w:rPr>
            </w:pPr>
            <w:r>
              <w:rPr>
                <w:rFonts w:hint="eastAsia" w:ascii="Times New Roman" w:hAnsi="Times New Roman" w:eastAsia="仿宋_GB2312"/>
                <w:bCs/>
                <w:snapToGrid w:val="0"/>
                <w:color w:val="000000"/>
                <w:kern w:val="0"/>
                <w:sz w:val="24"/>
                <w:szCs w:val="24"/>
                <w:highlight w:val="none"/>
              </w:rPr>
              <w:t>评选总分</w:t>
            </w:r>
          </w:p>
        </w:tc>
        <w:tc>
          <w:tcPr>
            <w:tcW w:w="1329" w:type="dxa"/>
            <w:vMerge w:val="restart"/>
            <w:vAlign w:val="center"/>
          </w:tcPr>
          <w:p w14:paraId="6E32E9A0">
            <w:pPr>
              <w:adjustRightInd w:val="0"/>
              <w:snapToGrid w:val="0"/>
              <w:spacing w:before="156" w:beforeLines="50" w:after="156" w:afterLines="50" w:line="360" w:lineRule="exact"/>
              <w:jc w:val="center"/>
              <w:rPr>
                <w:rFonts w:ascii="Times New Roman" w:hAnsi="Times New Roman" w:eastAsia="仿宋_GB2312"/>
                <w:bCs/>
                <w:snapToGrid w:val="0"/>
                <w:color w:val="000000"/>
                <w:kern w:val="0"/>
                <w:sz w:val="24"/>
                <w:szCs w:val="24"/>
                <w:highlight w:val="none"/>
              </w:rPr>
            </w:pPr>
            <w:r>
              <w:rPr>
                <w:rFonts w:hint="eastAsia" w:ascii="Times New Roman" w:hAnsi="Times New Roman" w:eastAsia="仿宋_GB2312"/>
                <w:bCs/>
                <w:snapToGrid w:val="0"/>
                <w:color w:val="000000"/>
                <w:kern w:val="0"/>
                <w:sz w:val="24"/>
                <w:szCs w:val="24"/>
                <w:highlight w:val="none"/>
              </w:rPr>
              <w:t>评选结果排名</w:t>
            </w:r>
          </w:p>
        </w:tc>
      </w:tr>
      <w:tr w14:paraId="1578D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1130" w:type="dxa"/>
            <w:vMerge w:val="continue"/>
            <w:vAlign w:val="center"/>
          </w:tcPr>
          <w:p w14:paraId="31DD2869">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982" w:type="dxa"/>
            <w:vMerge w:val="continue"/>
            <w:vAlign w:val="center"/>
          </w:tcPr>
          <w:p w14:paraId="3246F9E3">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997" w:type="dxa"/>
            <w:vMerge w:val="continue"/>
            <w:vAlign w:val="center"/>
          </w:tcPr>
          <w:p w14:paraId="20663CA9">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775" w:type="dxa"/>
            <w:vAlign w:val="center"/>
          </w:tcPr>
          <w:p w14:paraId="24A64E5D">
            <w:pPr>
              <w:adjustRightInd w:val="0"/>
              <w:snapToGrid w:val="0"/>
              <w:spacing w:before="156" w:beforeLines="50" w:after="156" w:afterLines="50" w:line="360" w:lineRule="exact"/>
              <w:jc w:val="center"/>
              <w:rPr>
                <w:rFonts w:ascii="Times New Roman" w:hAnsi="Times New Roman" w:eastAsia="仿宋_GB2312"/>
                <w:bCs/>
                <w:snapToGrid w:val="0"/>
                <w:color w:val="000000"/>
                <w:kern w:val="0"/>
                <w:sz w:val="24"/>
                <w:szCs w:val="24"/>
                <w:highlight w:val="none"/>
              </w:rPr>
            </w:pPr>
            <w:r>
              <w:rPr>
                <w:rFonts w:hint="eastAsia" w:ascii="Times New Roman" w:hAnsi="Times New Roman" w:eastAsia="仿宋_GB2312"/>
                <w:bCs/>
                <w:snapToGrid w:val="0"/>
                <w:color w:val="000000"/>
                <w:kern w:val="0"/>
                <w:sz w:val="24"/>
                <w:szCs w:val="24"/>
                <w:highlight w:val="none"/>
              </w:rPr>
              <w:t>综合实力（10分）</w:t>
            </w:r>
          </w:p>
        </w:tc>
        <w:tc>
          <w:tcPr>
            <w:tcW w:w="957" w:type="dxa"/>
            <w:vAlign w:val="center"/>
          </w:tcPr>
          <w:p w14:paraId="482485AA">
            <w:pPr>
              <w:adjustRightInd w:val="0"/>
              <w:snapToGrid w:val="0"/>
              <w:spacing w:before="156" w:beforeLines="50" w:after="156" w:afterLines="50" w:line="360" w:lineRule="exact"/>
              <w:jc w:val="center"/>
              <w:rPr>
                <w:rFonts w:ascii="Times New Roman" w:hAnsi="Times New Roman" w:eastAsia="仿宋_GB2312"/>
                <w:bCs/>
                <w:snapToGrid w:val="0"/>
                <w:color w:val="000000"/>
                <w:kern w:val="0"/>
                <w:sz w:val="24"/>
                <w:szCs w:val="24"/>
                <w:highlight w:val="none"/>
              </w:rPr>
            </w:pPr>
            <w:r>
              <w:rPr>
                <w:rFonts w:hint="eastAsia" w:ascii="Times New Roman" w:hAnsi="Times New Roman" w:eastAsia="仿宋_GB2312"/>
                <w:bCs/>
                <w:snapToGrid w:val="0"/>
                <w:kern w:val="0"/>
                <w:sz w:val="24"/>
                <w:szCs w:val="24"/>
                <w:highlight w:val="none"/>
              </w:rPr>
              <w:t>人员配备、能力等（</w:t>
            </w:r>
            <w:r>
              <w:rPr>
                <w:rFonts w:hint="eastAsia" w:ascii="Times New Roman" w:hAnsi="Times New Roman" w:eastAsia="仿宋_GB2312"/>
                <w:bCs/>
                <w:snapToGrid w:val="0"/>
                <w:color w:val="000000"/>
                <w:kern w:val="0"/>
                <w:sz w:val="24"/>
                <w:szCs w:val="24"/>
                <w:highlight w:val="none"/>
              </w:rPr>
              <w:t>20</w:t>
            </w:r>
            <w:r>
              <w:rPr>
                <w:rFonts w:hint="eastAsia" w:ascii="Times New Roman" w:hAnsi="Times New Roman" w:eastAsia="仿宋_GB2312"/>
                <w:bCs/>
                <w:snapToGrid w:val="0"/>
                <w:kern w:val="0"/>
                <w:sz w:val="24"/>
                <w:szCs w:val="24"/>
                <w:highlight w:val="none"/>
              </w:rPr>
              <w:t>分</w:t>
            </w:r>
          </w:p>
        </w:tc>
        <w:tc>
          <w:tcPr>
            <w:tcW w:w="749" w:type="dxa"/>
            <w:vAlign w:val="center"/>
          </w:tcPr>
          <w:p w14:paraId="1E49805E">
            <w:pPr>
              <w:adjustRightInd w:val="0"/>
              <w:snapToGrid w:val="0"/>
              <w:spacing w:before="156" w:beforeLines="50" w:after="156" w:afterLines="50" w:line="360" w:lineRule="exact"/>
              <w:jc w:val="center"/>
              <w:rPr>
                <w:rFonts w:ascii="Times New Roman" w:hAnsi="Times New Roman" w:eastAsia="仿宋_GB2312"/>
                <w:bCs/>
                <w:snapToGrid w:val="0"/>
                <w:color w:val="000000"/>
                <w:kern w:val="0"/>
                <w:sz w:val="24"/>
                <w:szCs w:val="24"/>
                <w:highlight w:val="none"/>
              </w:rPr>
            </w:pPr>
            <w:r>
              <w:rPr>
                <w:rFonts w:hint="eastAsia" w:ascii="Times New Roman" w:hAnsi="Times New Roman" w:eastAsia="仿宋_GB2312"/>
                <w:bCs/>
                <w:snapToGrid w:val="0"/>
                <w:color w:val="000000"/>
                <w:kern w:val="0"/>
                <w:sz w:val="24"/>
                <w:szCs w:val="24"/>
                <w:highlight w:val="none"/>
              </w:rPr>
              <w:t>工作方案</w:t>
            </w:r>
          </w:p>
          <w:p w14:paraId="7071B615">
            <w:pPr>
              <w:adjustRightInd w:val="0"/>
              <w:snapToGrid w:val="0"/>
              <w:spacing w:before="156" w:beforeLines="50" w:after="156" w:afterLines="50" w:line="360" w:lineRule="exact"/>
              <w:jc w:val="center"/>
              <w:rPr>
                <w:rFonts w:ascii="Times New Roman" w:hAnsi="Times New Roman" w:eastAsia="仿宋_GB2312"/>
                <w:snapToGrid w:val="0"/>
                <w:color w:val="000000"/>
                <w:kern w:val="0"/>
                <w:sz w:val="24"/>
                <w:szCs w:val="24"/>
                <w:highlight w:val="none"/>
              </w:rPr>
            </w:pPr>
            <w:r>
              <w:rPr>
                <w:rFonts w:hint="eastAsia" w:ascii="Times New Roman" w:hAnsi="Times New Roman" w:eastAsia="仿宋_GB2312"/>
                <w:bCs/>
                <w:snapToGrid w:val="0"/>
                <w:color w:val="000000"/>
                <w:kern w:val="0"/>
                <w:sz w:val="24"/>
                <w:szCs w:val="24"/>
                <w:highlight w:val="none"/>
              </w:rPr>
              <w:t>（10分）</w:t>
            </w:r>
          </w:p>
        </w:tc>
        <w:tc>
          <w:tcPr>
            <w:tcW w:w="1094" w:type="dxa"/>
            <w:vAlign w:val="center"/>
          </w:tcPr>
          <w:p w14:paraId="6C54C18B">
            <w:pPr>
              <w:adjustRightInd w:val="0"/>
              <w:snapToGrid w:val="0"/>
              <w:spacing w:before="156" w:beforeLines="50" w:after="156" w:afterLines="50" w:line="360" w:lineRule="exact"/>
              <w:jc w:val="center"/>
              <w:rPr>
                <w:rFonts w:ascii="Times New Roman" w:hAnsi="Times New Roman" w:eastAsia="仿宋_GB2312"/>
                <w:bCs/>
                <w:snapToGrid w:val="0"/>
                <w:color w:val="000000"/>
                <w:kern w:val="0"/>
                <w:sz w:val="24"/>
                <w:szCs w:val="24"/>
                <w:highlight w:val="none"/>
              </w:rPr>
            </w:pPr>
            <w:r>
              <w:rPr>
                <w:rFonts w:hint="eastAsia" w:ascii="Times New Roman" w:hAnsi="Times New Roman" w:eastAsia="仿宋_GB2312"/>
                <w:bCs/>
                <w:snapToGrid w:val="0"/>
                <w:color w:val="000000"/>
                <w:kern w:val="0"/>
                <w:sz w:val="24"/>
                <w:szCs w:val="24"/>
                <w:highlight w:val="none"/>
              </w:rPr>
              <w:t>质量管理水平（40分）</w:t>
            </w:r>
          </w:p>
        </w:tc>
        <w:tc>
          <w:tcPr>
            <w:tcW w:w="1263" w:type="dxa"/>
            <w:vAlign w:val="center"/>
          </w:tcPr>
          <w:p w14:paraId="1B2E3E10">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r>
              <w:rPr>
                <w:rFonts w:hint="eastAsia" w:ascii="Times New Roman" w:hAnsi="Times New Roman" w:eastAsia="仿宋_GB2312"/>
                <w:bCs/>
                <w:snapToGrid w:val="0"/>
                <w:color w:val="000000"/>
                <w:kern w:val="0"/>
                <w:sz w:val="24"/>
                <w:szCs w:val="24"/>
                <w:highlight w:val="none"/>
              </w:rPr>
              <w:t>风险承担能力（10）</w:t>
            </w:r>
          </w:p>
        </w:tc>
        <w:tc>
          <w:tcPr>
            <w:tcW w:w="1365" w:type="dxa"/>
            <w:vMerge w:val="continue"/>
            <w:vAlign w:val="center"/>
          </w:tcPr>
          <w:p w14:paraId="376CB359">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1329" w:type="dxa"/>
            <w:vMerge w:val="continue"/>
            <w:vAlign w:val="center"/>
          </w:tcPr>
          <w:p w14:paraId="68983FA2">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r>
      <w:tr w14:paraId="6DC38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30" w:type="dxa"/>
            <w:vAlign w:val="center"/>
          </w:tcPr>
          <w:p w14:paraId="164E1D46">
            <w:pPr>
              <w:adjustRightInd w:val="0"/>
              <w:snapToGrid w:val="0"/>
              <w:spacing w:before="156" w:beforeLines="50" w:after="156" w:afterLines="50" w:line="360" w:lineRule="exact"/>
              <w:rPr>
                <w:rFonts w:ascii="Times New Roman" w:hAnsi="Times New Roman" w:eastAsia="仿宋_GB2312"/>
                <w:snapToGrid w:val="0"/>
                <w:color w:val="000000"/>
                <w:kern w:val="0"/>
                <w:sz w:val="24"/>
                <w:szCs w:val="24"/>
                <w:highlight w:val="none"/>
              </w:rPr>
            </w:pPr>
          </w:p>
        </w:tc>
        <w:tc>
          <w:tcPr>
            <w:tcW w:w="982" w:type="dxa"/>
            <w:vAlign w:val="center"/>
          </w:tcPr>
          <w:p w14:paraId="0DBF628B">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997" w:type="dxa"/>
            <w:noWrap/>
            <w:vAlign w:val="center"/>
          </w:tcPr>
          <w:p w14:paraId="4A5ED797">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775" w:type="dxa"/>
            <w:noWrap/>
            <w:vAlign w:val="center"/>
          </w:tcPr>
          <w:p w14:paraId="5F430976">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957" w:type="dxa"/>
            <w:noWrap/>
            <w:vAlign w:val="center"/>
          </w:tcPr>
          <w:p w14:paraId="03205EE2">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749" w:type="dxa"/>
            <w:noWrap/>
            <w:vAlign w:val="center"/>
          </w:tcPr>
          <w:p w14:paraId="7F5C9983">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1094" w:type="dxa"/>
            <w:noWrap/>
            <w:vAlign w:val="center"/>
          </w:tcPr>
          <w:p w14:paraId="2D4225AC">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1263" w:type="dxa"/>
            <w:noWrap/>
            <w:vAlign w:val="center"/>
          </w:tcPr>
          <w:p w14:paraId="13D3795C">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1365" w:type="dxa"/>
            <w:noWrap/>
            <w:vAlign w:val="center"/>
          </w:tcPr>
          <w:p w14:paraId="314847EA">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1329" w:type="dxa"/>
            <w:noWrap/>
            <w:vAlign w:val="center"/>
          </w:tcPr>
          <w:p w14:paraId="19791F1E">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r>
      <w:tr w14:paraId="26A1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30" w:type="dxa"/>
            <w:vAlign w:val="center"/>
          </w:tcPr>
          <w:p w14:paraId="7069210D">
            <w:pPr>
              <w:adjustRightInd w:val="0"/>
              <w:snapToGrid w:val="0"/>
              <w:spacing w:before="156" w:beforeLines="50" w:after="156" w:afterLines="50" w:line="360" w:lineRule="exact"/>
              <w:rPr>
                <w:rFonts w:ascii="Times New Roman" w:hAnsi="Times New Roman" w:eastAsia="仿宋_GB2312"/>
                <w:snapToGrid w:val="0"/>
                <w:color w:val="000000"/>
                <w:kern w:val="0"/>
                <w:sz w:val="24"/>
                <w:szCs w:val="24"/>
                <w:highlight w:val="none"/>
              </w:rPr>
            </w:pPr>
          </w:p>
        </w:tc>
        <w:tc>
          <w:tcPr>
            <w:tcW w:w="982" w:type="dxa"/>
            <w:vAlign w:val="center"/>
          </w:tcPr>
          <w:p w14:paraId="5E0A3F46">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997" w:type="dxa"/>
            <w:noWrap/>
            <w:vAlign w:val="center"/>
          </w:tcPr>
          <w:p w14:paraId="51BD3983">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775" w:type="dxa"/>
            <w:noWrap/>
            <w:vAlign w:val="center"/>
          </w:tcPr>
          <w:p w14:paraId="395DDC14">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957" w:type="dxa"/>
            <w:noWrap/>
            <w:vAlign w:val="center"/>
          </w:tcPr>
          <w:p w14:paraId="0F2DEC9F">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749" w:type="dxa"/>
            <w:noWrap/>
            <w:vAlign w:val="center"/>
          </w:tcPr>
          <w:p w14:paraId="7DA5577C">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1094" w:type="dxa"/>
            <w:noWrap/>
            <w:vAlign w:val="center"/>
          </w:tcPr>
          <w:p w14:paraId="4F210FFF">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1263" w:type="dxa"/>
            <w:noWrap/>
            <w:vAlign w:val="center"/>
          </w:tcPr>
          <w:p w14:paraId="4271712A">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1365" w:type="dxa"/>
            <w:noWrap/>
            <w:vAlign w:val="center"/>
          </w:tcPr>
          <w:p w14:paraId="7BC3BDB1">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1329" w:type="dxa"/>
            <w:noWrap/>
            <w:vAlign w:val="center"/>
          </w:tcPr>
          <w:p w14:paraId="54529E2B">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r>
      <w:tr w14:paraId="08CAF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30" w:type="dxa"/>
            <w:vAlign w:val="center"/>
          </w:tcPr>
          <w:p w14:paraId="7E3D912C">
            <w:pPr>
              <w:adjustRightInd w:val="0"/>
              <w:snapToGrid w:val="0"/>
              <w:spacing w:before="156" w:beforeLines="50" w:after="156" w:afterLines="50" w:line="360" w:lineRule="exact"/>
              <w:rPr>
                <w:rFonts w:ascii="Times New Roman" w:hAnsi="Times New Roman" w:eastAsia="仿宋_GB2312"/>
                <w:snapToGrid w:val="0"/>
                <w:color w:val="000000"/>
                <w:kern w:val="0"/>
                <w:sz w:val="24"/>
                <w:szCs w:val="24"/>
                <w:highlight w:val="none"/>
              </w:rPr>
            </w:pPr>
          </w:p>
        </w:tc>
        <w:tc>
          <w:tcPr>
            <w:tcW w:w="982" w:type="dxa"/>
            <w:vAlign w:val="center"/>
          </w:tcPr>
          <w:p w14:paraId="5B152B86">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997" w:type="dxa"/>
            <w:noWrap/>
            <w:vAlign w:val="center"/>
          </w:tcPr>
          <w:p w14:paraId="72F2C86F">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775" w:type="dxa"/>
            <w:noWrap/>
            <w:vAlign w:val="center"/>
          </w:tcPr>
          <w:p w14:paraId="2A34BDEC">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957" w:type="dxa"/>
            <w:noWrap/>
            <w:vAlign w:val="center"/>
          </w:tcPr>
          <w:p w14:paraId="01A7FB60">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749" w:type="dxa"/>
            <w:noWrap/>
            <w:vAlign w:val="center"/>
          </w:tcPr>
          <w:p w14:paraId="7382E873">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1094" w:type="dxa"/>
            <w:noWrap/>
            <w:vAlign w:val="center"/>
          </w:tcPr>
          <w:p w14:paraId="5A54135B">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1263" w:type="dxa"/>
            <w:noWrap/>
            <w:vAlign w:val="center"/>
          </w:tcPr>
          <w:p w14:paraId="72E24F80">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1365" w:type="dxa"/>
            <w:noWrap/>
            <w:vAlign w:val="center"/>
          </w:tcPr>
          <w:p w14:paraId="290753B8">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c>
          <w:tcPr>
            <w:tcW w:w="1329" w:type="dxa"/>
            <w:noWrap/>
            <w:vAlign w:val="center"/>
          </w:tcPr>
          <w:p w14:paraId="79BECEC5">
            <w:pPr>
              <w:adjustRightInd w:val="0"/>
              <w:snapToGrid w:val="0"/>
              <w:spacing w:before="156" w:beforeLines="50" w:after="156" w:afterLines="50" w:line="360" w:lineRule="exact"/>
              <w:rPr>
                <w:rFonts w:ascii="Times New Roman" w:hAnsi="Times New Roman" w:eastAsia="仿宋_GB2312"/>
                <w:bCs/>
                <w:snapToGrid w:val="0"/>
                <w:color w:val="000000"/>
                <w:kern w:val="0"/>
                <w:sz w:val="24"/>
                <w:szCs w:val="24"/>
                <w:highlight w:val="none"/>
              </w:rPr>
            </w:pPr>
          </w:p>
        </w:tc>
      </w:tr>
      <w:tr w14:paraId="0645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130" w:type="dxa"/>
            <w:vAlign w:val="center"/>
          </w:tcPr>
          <w:p w14:paraId="5485B647">
            <w:pPr>
              <w:adjustRightInd w:val="0"/>
              <w:snapToGrid w:val="0"/>
              <w:spacing w:before="156" w:beforeLines="50" w:after="156" w:afterLines="50" w:line="360" w:lineRule="exact"/>
              <w:rPr>
                <w:rFonts w:ascii="Times New Roman" w:hAnsi="Times New Roman" w:eastAsia="仿宋_GB2312"/>
                <w:b/>
                <w:bCs/>
                <w:snapToGrid w:val="0"/>
                <w:color w:val="000000"/>
                <w:kern w:val="0"/>
                <w:sz w:val="24"/>
                <w:szCs w:val="24"/>
                <w:highlight w:val="none"/>
              </w:rPr>
            </w:pPr>
            <w:r>
              <w:rPr>
                <w:rFonts w:hint="eastAsia" w:ascii="Times New Roman" w:hAnsi="Times New Roman" w:eastAsia="仿宋_GB2312"/>
                <w:b/>
                <w:bCs/>
                <w:snapToGrid w:val="0"/>
                <w:color w:val="000000"/>
                <w:kern w:val="0"/>
                <w:sz w:val="24"/>
                <w:szCs w:val="24"/>
                <w:highlight w:val="none"/>
              </w:rPr>
              <w:t>评选</w:t>
            </w:r>
          </w:p>
          <w:p w14:paraId="3E0144E2">
            <w:pPr>
              <w:adjustRightInd w:val="0"/>
              <w:snapToGrid w:val="0"/>
              <w:spacing w:before="156" w:beforeLines="50" w:after="156" w:afterLines="50" w:line="360" w:lineRule="exact"/>
              <w:rPr>
                <w:rFonts w:ascii="Times New Roman" w:hAnsi="Times New Roman" w:eastAsia="仿宋_GB2312"/>
                <w:b/>
                <w:bCs/>
                <w:snapToGrid w:val="0"/>
                <w:color w:val="000000"/>
                <w:kern w:val="0"/>
                <w:sz w:val="24"/>
                <w:szCs w:val="24"/>
                <w:highlight w:val="none"/>
              </w:rPr>
            </w:pPr>
            <w:r>
              <w:rPr>
                <w:rFonts w:hint="eastAsia" w:ascii="Times New Roman" w:hAnsi="Times New Roman" w:eastAsia="仿宋_GB2312"/>
                <w:b/>
                <w:bCs/>
                <w:snapToGrid w:val="0"/>
                <w:color w:val="000000"/>
                <w:kern w:val="0"/>
                <w:sz w:val="24"/>
                <w:szCs w:val="24"/>
                <w:highlight w:val="none"/>
              </w:rPr>
              <w:t>意见</w:t>
            </w:r>
          </w:p>
        </w:tc>
        <w:tc>
          <w:tcPr>
            <w:tcW w:w="9511" w:type="dxa"/>
            <w:gridSpan w:val="9"/>
            <w:vAlign w:val="center"/>
          </w:tcPr>
          <w:p w14:paraId="4E356EDF">
            <w:pPr>
              <w:adjustRightInd w:val="0"/>
              <w:snapToGrid w:val="0"/>
              <w:spacing w:before="156" w:beforeLines="50" w:after="156" w:afterLines="50" w:line="360" w:lineRule="exact"/>
              <w:rPr>
                <w:rFonts w:ascii="Times New Roman" w:hAnsi="Times New Roman" w:eastAsia="仿宋_GB2312"/>
                <w:snapToGrid w:val="0"/>
                <w:color w:val="000000"/>
                <w:kern w:val="0"/>
                <w:sz w:val="24"/>
                <w:szCs w:val="24"/>
                <w:highlight w:val="none"/>
              </w:rPr>
            </w:pPr>
            <w:r>
              <w:rPr>
                <w:rFonts w:hint="eastAsia" w:ascii="Times New Roman" w:hAnsi="Times New Roman" w:eastAsia="仿宋_GB2312"/>
                <w:snapToGrid w:val="0"/>
                <w:color w:val="000000"/>
                <w:kern w:val="0"/>
                <w:sz w:val="24"/>
                <w:szCs w:val="24"/>
                <w:highlight w:val="none"/>
              </w:rPr>
              <w:t>签名：</w:t>
            </w:r>
          </w:p>
          <w:p w14:paraId="080B4EC3">
            <w:pPr>
              <w:adjustRightInd w:val="0"/>
              <w:snapToGrid w:val="0"/>
              <w:spacing w:before="156" w:beforeLines="50" w:after="156" w:afterLines="50" w:line="360" w:lineRule="exact"/>
              <w:rPr>
                <w:rFonts w:ascii="Times New Roman" w:hAnsi="Times New Roman" w:eastAsia="仿宋_GB2312"/>
                <w:snapToGrid w:val="0"/>
                <w:color w:val="000000"/>
                <w:kern w:val="0"/>
                <w:sz w:val="24"/>
                <w:szCs w:val="24"/>
                <w:highlight w:val="none"/>
              </w:rPr>
            </w:pPr>
            <w:r>
              <w:rPr>
                <w:rFonts w:hint="eastAsia" w:ascii="Times New Roman" w:hAnsi="Times New Roman" w:eastAsia="仿宋_GB2312"/>
                <w:snapToGrid w:val="0"/>
                <w:color w:val="000000"/>
                <w:kern w:val="0"/>
                <w:sz w:val="24"/>
                <w:szCs w:val="24"/>
                <w:highlight w:val="none"/>
              </w:rPr>
              <w:t xml:space="preserve">                 　</w:t>
            </w:r>
          </w:p>
        </w:tc>
      </w:tr>
      <w:tr w14:paraId="79712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130" w:type="dxa"/>
            <w:vAlign w:val="center"/>
          </w:tcPr>
          <w:p w14:paraId="0A6951B6">
            <w:pPr>
              <w:adjustRightInd w:val="0"/>
              <w:snapToGrid w:val="0"/>
              <w:spacing w:before="156" w:beforeLines="50" w:after="156" w:afterLines="50" w:line="360" w:lineRule="exact"/>
              <w:rPr>
                <w:rFonts w:ascii="Times New Roman" w:hAnsi="Times New Roman" w:eastAsia="仿宋_GB2312"/>
                <w:b/>
                <w:bCs/>
                <w:snapToGrid w:val="0"/>
                <w:color w:val="000000"/>
                <w:kern w:val="0"/>
                <w:sz w:val="24"/>
                <w:szCs w:val="24"/>
                <w:highlight w:val="none"/>
              </w:rPr>
            </w:pPr>
          </w:p>
        </w:tc>
        <w:tc>
          <w:tcPr>
            <w:tcW w:w="9511" w:type="dxa"/>
            <w:gridSpan w:val="9"/>
            <w:vAlign w:val="center"/>
          </w:tcPr>
          <w:p w14:paraId="744FE9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156" w:beforeLines="50" w:after="156" w:afterLines="50" w:line="360" w:lineRule="exact"/>
              <w:rPr>
                <w:rFonts w:ascii="Times New Roman" w:hAnsi="Times New Roman" w:eastAsia="仿宋_GB2312"/>
                <w:snapToGrid w:val="0"/>
                <w:color w:val="000000"/>
                <w:kern w:val="0"/>
                <w:sz w:val="22"/>
                <w:highlight w:val="none"/>
              </w:rPr>
            </w:pPr>
            <w:r>
              <w:rPr>
                <w:rFonts w:hint="eastAsia" w:ascii="Times New Roman" w:hAnsi="Times New Roman" w:eastAsia="仿宋_GB2312"/>
                <w:snapToGrid w:val="0"/>
                <w:color w:val="000000"/>
                <w:kern w:val="0"/>
                <w:sz w:val="22"/>
                <w:highlight w:val="none"/>
              </w:rPr>
              <w:t xml:space="preserve">   评分原则：本次综合评分由报价评分和商务及技术评分两个部分组成。</w:t>
            </w:r>
          </w:p>
          <w:p w14:paraId="56CC9645">
            <w:pPr>
              <w:tabs>
                <w:tab w:val="left" w:pos="0"/>
              </w:tabs>
              <w:adjustRightInd w:val="0"/>
              <w:snapToGrid w:val="0"/>
              <w:spacing w:before="156" w:beforeLines="50" w:after="156" w:afterLines="50" w:line="360" w:lineRule="exact"/>
              <w:ind w:left="113" w:firstLine="220" w:firstLineChars="100"/>
              <w:rPr>
                <w:rFonts w:ascii="Times New Roman" w:hAnsi="Times New Roman" w:eastAsia="仿宋_GB2312"/>
                <w:snapToGrid w:val="0"/>
                <w:color w:val="000000"/>
                <w:kern w:val="0"/>
                <w:sz w:val="22"/>
                <w:highlight w:val="none"/>
              </w:rPr>
            </w:pPr>
            <w:r>
              <w:rPr>
                <w:rFonts w:hint="eastAsia" w:ascii="Times New Roman" w:hAnsi="Times New Roman" w:eastAsia="仿宋_GB2312"/>
                <w:snapToGrid w:val="0"/>
                <w:color w:val="000000"/>
                <w:kern w:val="0"/>
                <w:sz w:val="22"/>
                <w:highlight w:val="none"/>
              </w:rPr>
              <w:t>1.报价评分标准：报价得分（满分10分）：</w:t>
            </w:r>
          </w:p>
          <w:p w14:paraId="7408F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156" w:beforeLines="50" w:after="156" w:afterLines="50" w:line="360" w:lineRule="exact"/>
              <w:ind w:firstLine="440" w:firstLineChars="200"/>
              <w:rPr>
                <w:rFonts w:ascii="Times New Roman" w:hAnsi="Times New Roman"/>
                <w:highlight w:val="none"/>
              </w:rPr>
            </w:pPr>
            <w:r>
              <w:rPr>
                <w:rFonts w:hint="eastAsia" w:ascii="Times New Roman" w:hAnsi="Times New Roman" w:eastAsia="仿宋_GB2312"/>
                <w:snapToGrid w:val="0"/>
                <w:color w:val="000000"/>
                <w:kern w:val="0"/>
                <w:sz w:val="22"/>
                <w:highlight w:val="none"/>
              </w:rPr>
              <w:t>以所有合格报价人平均值作为评选基准价，审计费用报价得分=（1-|选聘基准价-审计费用报价|/选聘基准价）×审计费用报价要素所占权重分值，得分精确到小数点后两位。最终报价评分保留一位小数点（四舍五入）。</w:t>
            </w:r>
          </w:p>
          <w:p w14:paraId="52458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156" w:beforeLines="50" w:after="156" w:afterLines="50" w:line="360" w:lineRule="exact"/>
              <w:ind w:left="420" w:leftChars="200"/>
              <w:rPr>
                <w:rFonts w:ascii="Times New Roman" w:hAnsi="Times New Roman" w:eastAsia="仿宋_GB2312"/>
                <w:snapToGrid w:val="0"/>
                <w:color w:val="000000"/>
                <w:kern w:val="0"/>
                <w:sz w:val="22"/>
                <w:highlight w:val="none"/>
              </w:rPr>
            </w:pPr>
            <w:r>
              <w:rPr>
                <w:rFonts w:hint="eastAsia" w:ascii="Times New Roman" w:hAnsi="Times New Roman" w:eastAsia="仿宋_GB2312"/>
                <w:snapToGrid w:val="0"/>
                <w:color w:val="000000"/>
                <w:kern w:val="0"/>
                <w:sz w:val="22"/>
                <w:highlight w:val="none"/>
              </w:rPr>
              <w:t>2.商务及技术评分标准（满分90分）：</w:t>
            </w:r>
          </w:p>
          <w:tbl>
            <w:tblPr>
              <w:tblStyle w:val="3"/>
              <w:tblW w:w="93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061"/>
              <w:gridCol w:w="794"/>
              <w:gridCol w:w="2907"/>
              <w:gridCol w:w="3846"/>
            </w:tblGrid>
            <w:tr w14:paraId="39948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blHeader/>
                <w:jc w:val="center"/>
              </w:trPr>
              <w:tc>
                <w:tcPr>
                  <w:tcW w:w="781" w:type="dxa"/>
                  <w:vAlign w:val="center"/>
                </w:tcPr>
                <w:p w14:paraId="0AC1AD74">
                  <w:pPr>
                    <w:rPr>
                      <w:rFonts w:ascii="Times New Roman" w:hAnsi="Times New Roman" w:eastAsia="仿宋_GB2312"/>
                      <w:b/>
                      <w:szCs w:val="21"/>
                      <w:highlight w:val="none"/>
                    </w:rPr>
                  </w:pPr>
                  <w:r>
                    <w:rPr>
                      <w:rFonts w:hint="eastAsia" w:ascii="Times New Roman" w:hAnsi="Times New Roman" w:eastAsia="仿宋_GB2312"/>
                      <w:b/>
                      <w:szCs w:val="21"/>
                      <w:highlight w:val="none"/>
                    </w:rPr>
                    <w:t>序号</w:t>
                  </w:r>
                </w:p>
              </w:tc>
              <w:tc>
                <w:tcPr>
                  <w:tcW w:w="1855" w:type="dxa"/>
                  <w:gridSpan w:val="2"/>
                  <w:vAlign w:val="center"/>
                </w:tcPr>
                <w:p w14:paraId="051D4C0E">
                  <w:pPr>
                    <w:jc w:val="center"/>
                    <w:rPr>
                      <w:rFonts w:ascii="Times New Roman" w:hAnsi="Times New Roman" w:eastAsia="仿宋_GB2312"/>
                      <w:b/>
                      <w:szCs w:val="21"/>
                      <w:highlight w:val="none"/>
                    </w:rPr>
                  </w:pPr>
                  <w:r>
                    <w:rPr>
                      <w:rFonts w:hint="eastAsia" w:ascii="Times New Roman" w:hAnsi="Times New Roman" w:eastAsia="仿宋_GB2312"/>
                      <w:b/>
                      <w:szCs w:val="21"/>
                      <w:highlight w:val="none"/>
                    </w:rPr>
                    <w:t>指标</w:t>
                  </w:r>
                </w:p>
              </w:tc>
              <w:tc>
                <w:tcPr>
                  <w:tcW w:w="2907" w:type="dxa"/>
                  <w:vAlign w:val="center"/>
                </w:tcPr>
                <w:p w14:paraId="3B0AC3BC">
                  <w:pPr>
                    <w:jc w:val="center"/>
                    <w:rPr>
                      <w:rFonts w:ascii="Times New Roman" w:hAnsi="Times New Roman" w:eastAsia="仿宋_GB2312"/>
                      <w:b/>
                      <w:szCs w:val="21"/>
                      <w:highlight w:val="none"/>
                    </w:rPr>
                  </w:pPr>
                  <w:r>
                    <w:rPr>
                      <w:rFonts w:hint="eastAsia" w:ascii="Times New Roman" w:hAnsi="Times New Roman" w:eastAsia="仿宋_GB2312"/>
                      <w:b/>
                      <w:szCs w:val="21"/>
                      <w:highlight w:val="none"/>
                    </w:rPr>
                    <w:t>评分内容</w:t>
                  </w:r>
                </w:p>
              </w:tc>
              <w:tc>
                <w:tcPr>
                  <w:tcW w:w="3846" w:type="dxa"/>
                  <w:vAlign w:val="center"/>
                </w:tcPr>
                <w:p w14:paraId="71BA19F3">
                  <w:pPr>
                    <w:jc w:val="center"/>
                    <w:rPr>
                      <w:rFonts w:ascii="Times New Roman" w:hAnsi="Times New Roman" w:eastAsia="仿宋_GB2312"/>
                      <w:b/>
                      <w:szCs w:val="21"/>
                      <w:highlight w:val="none"/>
                    </w:rPr>
                  </w:pPr>
                  <w:r>
                    <w:rPr>
                      <w:rFonts w:hint="eastAsia" w:ascii="Times New Roman" w:hAnsi="Times New Roman" w:eastAsia="仿宋_GB2312"/>
                      <w:b/>
                      <w:szCs w:val="21"/>
                      <w:highlight w:val="none"/>
                    </w:rPr>
                    <w:t>评分明细</w:t>
                  </w:r>
                </w:p>
              </w:tc>
            </w:tr>
            <w:tr w14:paraId="6DEDA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781" w:type="dxa"/>
                  <w:vAlign w:val="center"/>
                </w:tcPr>
                <w:p w14:paraId="346EAD22">
                  <w:pPr>
                    <w:jc w:val="center"/>
                    <w:rPr>
                      <w:rFonts w:ascii="Times New Roman" w:hAnsi="Times New Roman" w:eastAsia="仿宋_GB2312"/>
                      <w:sz w:val="22"/>
                      <w:highlight w:val="none"/>
                    </w:rPr>
                  </w:pPr>
                  <w:r>
                    <w:rPr>
                      <w:rFonts w:hint="eastAsia" w:ascii="Times New Roman" w:hAnsi="Times New Roman" w:eastAsia="仿宋_GB2312"/>
                      <w:sz w:val="22"/>
                      <w:highlight w:val="none"/>
                    </w:rPr>
                    <w:t>1</w:t>
                  </w:r>
                </w:p>
              </w:tc>
              <w:tc>
                <w:tcPr>
                  <w:tcW w:w="1855" w:type="dxa"/>
                  <w:gridSpan w:val="2"/>
                  <w:vAlign w:val="center"/>
                </w:tcPr>
                <w:p w14:paraId="63B1C95B">
                  <w:pPr>
                    <w:jc w:val="center"/>
                    <w:rPr>
                      <w:rFonts w:hint="eastAsia" w:ascii="Times New Roman" w:hAnsi="Times New Roman" w:eastAsia="仿宋_GB2312"/>
                      <w:sz w:val="22"/>
                      <w:highlight w:val="none"/>
                    </w:rPr>
                  </w:pPr>
                  <w:r>
                    <w:rPr>
                      <w:rFonts w:hint="eastAsia" w:ascii="Times New Roman" w:hAnsi="Times New Roman" w:eastAsia="仿宋_GB2312"/>
                      <w:sz w:val="22"/>
                      <w:highlight w:val="none"/>
                    </w:rPr>
                    <w:t>报价人</w:t>
                  </w:r>
                </w:p>
                <w:p w14:paraId="644B39B5">
                  <w:pPr>
                    <w:jc w:val="center"/>
                    <w:rPr>
                      <w:rFonts w:ascii="Times New Roman" w:hAnsi="Times New Roman" w:eastAsia="仿宋_GB2312"/>
                      <w:szCs w:val="21"/>
                      <w:highlight w:val="none"/>
                    </w:rPr>
                  </w:pPr>
                  <w:r>
                    <w:rPr>
                      <w:rFonts w:hint="eastAsia" w:ascii="Times New Roman" w:hAnsi="Times New Roman" w:eastAsia="仿宋_GB2312"/>
                      <w:sz w:val="22"/>
                      <w:highlight w:val="none"/>
                    </w:rPr>
                    <w:t>综合实力（10分）</w:t>
                  </w:r>
                </w:p>
              </w:tc>
              <w:tc>
                <w:tcPr>
                  <w:tcW w:w="2907" w:type="dxa"/>
                  <w:vAlign w:val="center"/>
                </w:tcPr>
                <w:p w14:paraId="04D94A33">
                  <w:pPr>
                    <w:rPr>
                      <w:rFonts w:hint="eastAsia" w:ascii="Times New Roman" w:hAnsi="Times New Roman" w:eastAsia="仿宋_GB2312"/>
                      <w:sz w:val="22"/>
                      <w:highlight w:val="none"/>
                    </w:rPr>
                  </w:pPr>
                  <w:r>
                    <w:rPr>
                      <w:rFonts w:hint="eastAsia" w:ascii="Times New Roman" w:hAnsi="Times New Roman" w:eastAsia="仿宋_GB2312"/>
                      <w:sz w:val="22"/>
                      <w:highlight w:val="none"/>
                    </w:rPr>
                    <w:t>报价人在注册会计师协会中排名（提供排名截图）；</w:t>
                  </w:r>
                </w:p>
                <w:p w14:paraId="3F6E4C98">
                  <w:pPr>
                    <w:rPr>
                      <w:rFonts w:hint="eastAsia" w:ascii="Times New Roman" w:hAnsi="Times New Roman" w:eastAsia="仿宋_GB2312"/>
                      <w:sz w:val="22"/>
                      <w:highlight w:val="none"/>
                    </w:rPr>
                  </w:pPr>
                  <w:r>
                    <w:rPr>
                      <w:rFonts w:hint="eastAsia" w:ascii="Times New Roman" w:hAnsi="Times New Roman" w:eastAsia="仿宋_GB2312"/>
                      <w:sz w:val="22"/>
                      <w:highlight w:val="none"/>
                    </w:rPr>
                    <w:t>2）注册会计师人数，截止到报价截止日注册会计师人数排名（自行提供证明文件）</w:t>
                  </w:r>
                </w:p>
              </w:tc>
              <w:tc>
                <w:tcPr>
                  <w:tcW w:w="3846" w:type="dxa"/>
                  <w:vAlign w:val="center"/>
                </w:tcPr>
                <w:p w14:paraId="668C2B32">
                  <w:pPr>
                    <w:rPr>
                      <w:rFonts w:hint="eastAsia" w:ascii="Times New Roman" w:hAnsi="Times New Roman" w:eastAsia="仿宋_GB2312"/>
                      <w:sz w:val="22"/>
                      <w:highlight w:val="none"/>
                    </w:rPr>
                  </w:pPr>
                  <w:r>
                    <w:rPr>
                      <w:rFonts w:hint="eastAsia" w:ascii="Times New Roman" w:hAnsi="Times New Roman" w:eastAsia="仿宋_GB2312"/>
                      <w:sz w:val="22"/>
                      <w:highlight w:val="none"/>
                    </w:rPr>
                    <w:t>1）报价人在广东省注册会计师协会公布的最近一年度广东省会计师事务所综合评价信息排名前100名中排名：1-30名：5分；31-40名：3分；41-50名：2分；50名之后的得1分。</w:t>
                  </w:r>
                </w:p>
                <w:p w14:paraId="4BA0BCB6">
                  <w:pPr>
                    <w:rPr>
                      <w:rFonts w:hint="eastAsia" w:ascii="Times New Roman" w:hAnsi="Times New Roman" w:eastAsia="仿宋_GB2312"/>
                      <w:sz w:val="22"/>
                      <w:highlight w:val="none"/>
                    </w:rPr>
                  </w:pPr>
                  <w:r>
                    <w:rPr>
                      <w:rFonts w:hint="eastAsia" w:ascii="Times New Roman" w:hAnsi="Times New Roman" w:eastAsia="仿宋_GB2312"/>
                      <w:sz w:val="22"/>
                      <w:highlight w:val="none"/>
                    </w:rPr>
                    <w:t>2）注册会计师人数：注册会计师人数60名及以上的，得5分，50-59名的得3分，50名以下的得1分。</w:t>
                  </w:r>
                </w:p>
              </w:tc>
            </w:tr>
            <w:tr w14:paraId="6E581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781" w:type="dxa"/>
                  <w:vMerge w:val="restart"/>
                  <w:vAlign w:val="center"/>
                </w:tcPr>
                <w:p w14:paraId="28E1A718">
                  <w:pPr>
                    <w:jc w:val="center"/>
                    <w:rPr>
                      <w:rFonts w:ascii="Times New Roman" w:hAnsi="Times New Roman" w:eastAsia="仿宋_GB2312"/>
                      <w:sz w:val="22"/>
                      <w:highlight w:val="none"/>
                    </w:rPr>
                  </w:pPr>
                  <w:r>
                    <w:rPr>
                      <w:rFonts w:hint="eastAsia" w:ascii="Times New Roman" w:hAnsi="Times New Roman" w:eastAsia="仿宋_GB2312"/>
                      <w:sz w:val="22"/>
                      <w:highlight w:val="none"/>
                    </w:rPr>
                    <w:t>2</w:t>
                  </w:r>
                </w:p>
              </w:tc>
              <w:tc>
                <w:tcPr>
                  <w:tcW w:w="1061" w:type="dxa"/>
                  <w:vMerge w:val="restart"/>
                  <w:vAlign w:val="center"/>
                </w:tcPr>
                <w:p w14:paraId="538079FA">
                  <w:pPr>
                    <w:jc w:val="center"/>
                    <w:rPr>
                      <w:rFonts w:ascii="Times New Roman" w:hAnsi="Times New Roman" w:eastAsia="仿宋_GB2312"/>
                      <w:sz w:val="22"/>
                      <w:highlight w:val="none"/>
                    </w:rPr>
                  </w:pPr>
                  <w:r>
                    <w:rPr>
                      <w:rFonts w:hint="eastAsia" w:ascii="Times New Roman" w:hAnsi="Times New Roman" w:eastAsia="仿宋_GB2312"/>
                      <w:sz w:val="22"/>
                      <w:highlight w:val="none"/>
                    </w:rPr>
                    <w:t>人员配备(12分)</w:t>
                  </w:r>
                </w:p>
              </w:tc>
              <w:tc>
                <w:tcPr>
                  <w:tcW w:w="794" w:type="dxa"/>
                  <w:vAlign w:val="center"/>
                </w:tcPr>
                <w:p w14:paraId="20A406F5">
                  <w:pPr>
                    <w:jc w:val="center"/>
                    <w:rPr>
                      <w:rFonts w:ascii="Times New Roman" w:hAnsi="Times New Roman" w:eastAsia="仿宋_GB2312"/>
                      <w:sz w:val="22"/>
                      <w:highlight w:val="none"/>
                    </w:rPr>
                  </w:pPr>
                  <w:r>
                    <w:rPr>
                      <w:rFonts w:hint="eastAsia" w:ascii="Times New Roman" w:hAnsi="Times New Roman" w:eastAsia="仿宋_GB2312"/>
                      <w:sz w:val="22"/>
                      <w:highlight w:val="none"/>
                    </w:rPr>
                    <w:t>项目负责人</w:t>
                  </w:r>
                </w:p>
              </w:tc>
              <w:tc>
                <w:tcPr>
                  <w:tcW w:w="2907" w:type="dxa"/>
                  <w:vAlign w:val="center"/>
                </w:tcPr>
                <w:p w14:paraId="22B55C6D">
                  <w:pPr>
                    <w:rPr>
                      <w:rFonts w:ascii="Times New Roman" w:hAnsi="Times New Roman" w:eastAsia="仿宋_GB2312"/>
                      <w:sz w:val="22"/>
                      <w:highlight w:val="none"/>
                    </w:rPr>
                  </w:pPr>
                  <w:r>
                    <w:rPr>
                      <w:rFonts w:hint="eastAsia" w:ascii="Times New Roman" w:hAnsi="Times New Roman" w:eastAsia="仿宋_GB2312"/>
                      <w:sz w:val="22"/>
                      <w:highlight w:val="none"/>
                    </w:rPr>
                    <w:t>项目负责人审计工作年限与工作经验（提供证明文件）</w:t>
                  </w:r>
                </w:p>
                <w:p w14:paraId="4C5F3D66">
                  <w:pPr>
                    <w:rPr>
                      <w:rFonts w:ascii="Times New Roman" w:hAnsi="Times New Roman" w:eastAsia="仿宋_GB2312"/>
                      <w:sz w:val="22"/>
                      <w:highlight w:val="none"/>
                    </w:rPr>
                  </w:pPr>
                  <w:r>
                    <w:rPr>
                      <w:rFonts w:hint="eastAsia" w:ascii="Times New Roman" w:hAnsi="Times New Roman" w:eastAsia="仿宋_GB2312"/>
                      <w:b/>
                      <w:sz w:val="22"/>
                      <w:highlight w:val="none"/>
                    </w:rPr>
                    <w:t>备注：</w:t>
                  </w:r>
                  <w:r>
                    <w:rPr>
                      <w:rFonts w:hint="eastAsia" w:ascii="Times New Roman" w:hAnsi="Times New Roman" w:eastAsia="仿宋_GB2312"/>
                      <w:sz w:val="22"/>
                      <w:highlight w:val="none"/>
                    </w:rPr>
                    <w:t>总所报价的，分支机构人员可纳入评审；分支机构报价的，总所人员不可纳入评审。</w:t>
                  </w:r>
                </w:p>
              </w:tc>
              <w:tc>
                <w:tcPr>
                  <w:tcW w:w="3846" w:type="dxa"/>
                  <w:vAlign w:val="center"/>
                </w:tcPr>
                <w:p w14:paraId="069CB17A">
                  <w:pPr>
                    <w:rPr>
                      <w:rFonts w:ascii="Times New Roman" w:hAnsi="Times New Roman" w:eastAsia="仿宋_GB2312"/>
                      <w:sz w:val="22"/>
                      <w:highlight w:val="none"/>
                    </w:rPr>
                  </w:pPr>
                  <w:r>
                    <w:rPr>
                      <w:rFonts w:hint="eastAsia" w:ascii="Times New Roman" w:hAnsi="Times New Roman" w:eastAsia="仿宋_GB2312"/>
                      <w:sz w:val="22"/>
                      <w:highlight w:val="none"/>
                    </w:rPr>
                    <w:t>15年及以上4分；</w:t>
                  </w:r>
                </w:p>
                <w:p w14:paraId="27727DCE">
                  <w:pPr>
                    <w:rPr>
                      <w:rFonts w:ascii="Times New Roman" w:hAnsi="Times New Roman" w:eastAsia="仿宋_GB2312"/>
                      <w:sz w:val="22"/>
                      <w:highlight w:val="none"/>
                    </w:rPr>
                  </w:pPr>
                  <w:r>
                    <w:rPr>
                      <w:rFonts w:hint="eastAsia" w:ascii="Times New Roman" w:hAnsi="Times New Roman" w:eastAsia="仿宋_GB2312"/>
                      <w:sz w:val="22"/>
                      <w:highlight w:val="none"/>
                    </w:rPr>
                    <w:t>10-14年2分；</w:t>
                  </w:r>
                </w:p>
                <w:p w14:paraId="0B3DF4CB">
                  <w:pPr>
                    <w:rPr>
                      <w:rFonts w:ascii="Times New Roman" w:hAnsi="Times New Roman" w:eastAsia="仿宋_GB2312"/>
                      <w:sz w:val="22"/>
                      <w:highlight w:val="none"/>
                    </w:rPr>
                  </w:pPr>
                  <w:r>
                    <w:rPr>
                      <w:rFonts w:hint="eastAsia" w:ascii="Times New Roman" w:hAnsi="Times New Roman" w:eastAsia="仿宋_GB2312"/>
                      <w:sz w:val="22"/>
                      <w:highlight w:val="none"/>
                    </w:rPr>
                    <w:t>8-9年及以下2分；</w:t>
                  </w:r>
                </w:p>
                <w:p w14:paraId="152CACD8">
                  <w:pPr>
                    <w:rPr>
                      <w:rFonts w:ascii="Times New Roman" w:hAnsi="Times New Roman" w:eastAsia="仿宋_GB2312"/>
                      <w:sz w:val="22"/>
                      <w:highlight w:val="none"/>
                    </w:rPr>
                  </w:pPr>
                  <w:r>
                    <w:rPr>
                      <w:rFonts w:hint="eastAsia" w:ascii="Times New Roman" w:hAnsi="Times New Roman" w:eastAsia="仿宋_GB2312"/>
                      <w:sz w:val="22"/>
                      <w:highlight w:val="none"/>
                    </w:rPr>
                    <w:t>8年以下或不提供得0分。</w:t>
                  </w:r>
                </w:p>
              </w:tc>
            </w:tr>
            <w:tr w14:paraId="0C8B1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781" w:type="dxa"/>
                  <w:vMerge w:val="continue"/>
                  <w:vAlign w:val="center"/>
                </w:tcPr>
                <w:p w14:paraId="3749ECC6">
                  <w:pPr>
                    <w:jc w:val="center"/>
                    <w:rPr>
                      <w:rFonts w:ascii="Times New Roman" w:hAnsi="Times New Roman" w:eastAsia="仿宋_GB2312"/>
                      <w:sz w:val="22"/>
                      <w:highlight w:val="none"/>
                    </w:rPr>
                  </w:pPr>
                </w:p>
              </w:tc>
              <w:tc>
                <w:tcPr>
                  <w:tcW w:w="1061" w:type="dxa"/>
                  <w:vMerge w:val="continue"/>
                  <w:vAlign w:val="center"/>
                </w:tcPr>
                <w:p w14:paraId="12E8A64C">
                  <w:pPr>
                    <w:jc w:val="center"/>
                    <w:rPr>
                      <w:rFonts w:ascii="Times New Roman" w:hAnsi="Times New Roman" w:eastAsia="仿宋_GB2312"/>
                      <w:sz w:val="22"/>
                      <w:highlight w:val="none"/>
                    </w:rPr>
                  </w:pPr>
                </w:p>
              </w:tc>
              <w:tc>
                <w:tcPr>
                  <w:tcW w:w="794" w:type="dxa"/>
                  <w:vAlign w:val="center"/>
                </w:tcPr>
                <w:p w14:paraId="19B9ED04">
                  <w:pPr>
                    <w:jc w:val="center"/>
                    <w:rPr>
                      <w:rFonts w:ascii="Times New Roman" w:hAnsi="Times New Roman" w:eastAsia="仿宋_GB2312"/>
                      <w:sz w:val="22"/>
                      <w:highlight w:val="none"/>
                    </w:rPr>
                  </w:pPr>
                  <w:r>
                    <w:rPr>
                      <w:rFonts w:hint="eastAsia" w:ascii="Times New Roman" w:hAnsi="Times New Roman" w:eastAsia="仿宋_GB2312"/>
                      <w:sz w:val="22"/>
                      <w:highlight w:val="none"/>
                    </w:rPr>
                    <w:t>注册会计师</w:t>
                  </w:r>
                </w:p>
              </w:tc>
              <w:tc>
                <w:tcPr>
                  <w:tcW w:w="2907" w:type="dxa"/>
                  <w:vAlign w:val="center"/>
                </w:tcPr>
                <w:p w14:paraId="711FBC4B">
                  <w:pPr>
                    <w:rPr>
                      <w:rFonts w:ascii="Times New Roman" w:hAnsi="Times New Roman" w:eastAsia="仿宋_GB2312"/>
                      <w:sz w:val="22"/>
                      <w:highlight w:val="none"/>
                    </w:rPr>
                  </w:pPr>
                  <w:r>
                    <w:rPr>
                      <w:rFonts w:hint="eastAsia" w:ascii="Times New Roman" w:hAnsi="Times New Roman" w:eastAsia="仿宋_GB2312"/>
                      <w:sz w:val="22"/>
                      <w:highlight w:val="none"/>
                    </w:rPr>
                    <w:t>本次项目派出注册会计师人数（提供证明文件）</w:t>
                  </w:r>
                </w:p>
                <w:p w14:paraId="5CD4AE7E">
                  <w:pPr>
                    <w:rPr>
                      <w:rFonts w:ascii="Times New Roman" w:hAnsi="Times New Roman" w:eastAsia="仿宋_GB2312"/>
                      <w:sz w:val="22"/>
                      <w:highlight w:val="none"/>
                    </w:rPr>
                  </w:pPr>
                  <w:r>
                    <w:rPr>
                      <w:rFonts w:hint="eastAsia" w:ascii="Times New Roman" w:hAnsi="Times New Roman" w:eastAsia="仿宋_GB2312"/>
                      <w:b/>
                      <w:sz w:val="22"/>
                      <w:highlight w:val="none"/>
                    </w:rPr>
                    <w:t>备注：</w:t>
                  </w:r>
                  <w:r>
                    <w:rPr>
                      <w:rFonts w:hint="eastAsia" w:ascii="Times New Roman" w:hAnsi="Times New Roman" w:eastAsia="仿宋_GB2312"/>
                      <w:sz w:val="22"/>
                      <w:highlight w:val="none"/>
                    </w:rPr>
                    <w:t>总所报价的，分支机构人员可纳入评审；分支机构报价的，总所人员不可纳入评审。</w:t>
                  </w:r>
                </w:p>
              </w:tc>
              <w:tc>
                <w:tcPr>
                  <w:tcW w:w="3846" w:type="dxa"/>
                  <w:vAlign w:val="center"/>
                </w:tcPr>
                <w:p w14:paraId="2530F2F3">
                  <w:pPr>
                    <w:rPr>
                      <w:rFonts w:ascii="Times New Roman" w:hAnsi="Times New Roman" w:eastAsia="仿宋_GB2312"/>
                      <w:sz w:val="22"/>
                      <w:highlight w:val="none"/>
                    </w:rPr>
                  </w:pPr>
                  <w:r>
                    <w:rPr>
                      <w:rFonts w:hint="eastAsia" w:ascii="Times New Roman" w:hAnsi="Times New Roman" w:eastAsia="仿宋_GB2312"/>
                      <w:sz w:val="22"/>
                      <w:highlight w:val="none"/>
                    </w:rPr>
                    <w:t>5人及以上4分；</w:t>
                  </w:r>
                </w:p>
                <w:p w14:paraId="6D4D710C">
                  <w:pPr>
                    <w:rPr>
                      <w:rFonts w:ascii="Times New Roman" w:hAnsi="Times New Roman" w:eastAsia="仿宋_GB2312"/>
                      <w:sz w:val="22"/>
                      <w:highlight w:val="none"/>
                    </w:rPr>
                  </w:pPr>
                  <w:r>
                    <w:rPr>
                      <w:rFonts w:hint="eastAsia" w:ascii="Times New Roman" w:hAnsi="Times New Roman" w:eastAsia="仿宋_GB2312"/>
                      <w:sz w:val="22"/>
                      <w:highlight w:val="none"/>
                    </w:rPr>
                    <w:t>3-4人2分；</w:t>
                  </w:r>
                </w:p>
                <w:p w14:paraId="7F1AE2A4">
                  <w:pPr>
                    <w:rPr>
                      <w:rFonts w:ascii="Times New Roman" w:hAnsi="Times New Roman" w:eastAsia="仿宋_GB2312"/>
                      <w:sz w:val="22"/>
                      <w:highlight w:val="none"/>
                    </w:rPr>
                  </w:pPr>
                  <w:r>
                    <w:rPr>
                      <w:rFonts w:hint="eastAsia" w:ascii="Times New Roman" w:hAnsi="Times New Roman" w:eastAsia="仿宋_GB2312"/>
                      <w:sz w:val="22"/>
                      <w:highlight w:val="none"/>
                    </w:rPr>
                    <w:t>1-2人1分；</w:t>
                  </w:r>
                </w:p>
                <w:p w14:paraId="2D7A489C">
                  <w:pPr>
                    <w:rPr>
                      <w:rFonts w:ascii="Times New Roman" w:hAnsi="Times New Roman" w:eastAsia="仿宋_GB2312"/>
                      <w:sz w:val="22"/>
                      <w:highlight w:val="none"/>
                    </w:rPr>
                  </w:pPr>
                  <w:r>
                    <w:rPr>
                      <w:rFonts w:hint="eastAsia" w:ascii="Times New Roman" w:hAnsi="Times New Roman" w:eastAsia="仿宋_GB2312"/>
                      <w:sz w:val="22"/>
                      <w:highlight w:val="none"/>
                    </w:rPr>
                    <w:t>不提供得0分。</w:t>
                  </w:r>
                </w:p>
              </w:tc>
            </w:tr>
            <w:tr w14:paraId="748FB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781" w:type="dxa"/>
                  <w:vMerge w:val="continue"/>
                  <w:vAlign w:val="center"/>
                </w:tcPr>
                <w:p w14:paraId="24131692">
                  <w:pPr>
                    <w:jc w:val="center"/>
                    <w:rPr>
                      <w:rFonts w:ascii="Times New Roman" w:hAnsi="Times New Roman" w:eastAsia="仿宋_GB2312"/>
                      <w:sz w:val="22"/>
                      <w:highlight w:val="none"/>
                    </w:rPr>
                  </w:pPr>
                </w:p>
              </w:tc>
              <w:tc>
                <w:tcPr>
                  <w:tcW w:w="1061" w:type="dxa"/>
                  <w:vMerge w:val="continue"/>
                  <w:vAlign w:val="center"/>
                </w:tcPr>
                <w:p w14:paraId="0EA76CE8">
                  <w:pPr>
                    <w:jc w:val="center"/>
                    <w:rPr>
                      <w:rFonts w:ascii="Times New Roman" w:hAnsi="Times New Roman" w:eastAsia="仿宋_GB2312"/>
                      <w:sz w:val="22"/>
                      <w:highlight w:val="none"/>
                    </w:rPr>
                  </w:pPr>
                </w:p>
              </w:tc>
              <w:tc>
                <w:tcPr>
                  <w:tcW w:w="794" w:type="dxa"/>
                  <w:vAlign w:val="center"/>
                </w:tcPr>
                <w:p w14:paraId="58D6A5FC">
                  <w:pPr>
                    <w:jc w:val="center"/>
                    <w:rPr>
                      <w:rFonts w:ascii="Times New Roman" w:hAnsi="Times New Roman" w:eastAsia="仿宋_GB2312"/>
                      <w:sz w:val="22"/>
                      <w:highlight w:val="none"/>
                    </w:rPr>
                  </w:pPr>
                  <w:r>
                    <w:rPr>
                      <w:rFonts w:hint="eastAsia" w:ascii="Times New Roman" w:hAnsi="Times New Roman" w:eastAsia="仿宋_GB2312"/>
                      <w:sz w:val="22"/>
                      <w:highlight w:val="none"/>
                    </w:rPr>
                    <w:t>团队成员</w:t>
                  </w:r>
                </w:p>
              </w:tc>
              <w:tc>
                <w:tcPr>
                  <w:tcW w:w="2907" w:type="dxa"/>
                  <w:vAlign w:val="center"/>
                </w:tcPr>
                <w:p w14:paraId="6F68CFE2">
                  <w:pPr>
                    <w:rPr>
                      <w:rFonts w:ascii="Times New Roman" w:hAnsi="Times New Roman" w:eastAsia="仿宋_GB2312"/>
                      <w:sz w:val="22"/>
                      <w:highlight w:val="none"/>
                    </w:rPr>
                  </w:pPr>
                  <w:r>
                    <w:rPr>
                      <w:rFonts w:hint="eastAsia" w:ascii="Times New Roman" w:hAnsi="Times New Roman" w:eastAsia="仿宋_GB2312"/>
                      <w:sz w:val="22"/>
                      <w:highlight w:val="none"/>
                    </w:rPr>
                    <w:t>负责本项目的团队成员具有超过3年及以上审计工作经验超过80%（提供证明文件）</w:t>
                  </w:r>
                </w:p>
                <w:p w14:paraId="2B5BD69A">
                  <w:pPr>
                    <w:rPr>
                      <w:rFonts w:ascii="Times New Roman" w:hAnsi="Times New Roman" w:eastAsia="仿宋_GB2312"/>
                      <w:sz w:val="22"/>
                      <w:highlight w:val="none"/>
                    </w:rPr>
                  </w:pPr>
                  <w:r>
                    <w:rPr>
                      <w:rFonts w:hint="eastAsia" w:ascii="Times New Roman" w:hAnsi="Times New Roman" w:eastAsia="仿宋_GB2312"/>
                      <w:b/>
                      <w:sz w:val="22"/>
                      <w:highlight w:val="none"/>
                    </w:rPr>
                    <w:t>备注：</w:t>
                  </w:r>
                  <w:r>
                    <w:rPr>
                      <w:rFonts w:hint="eastAsia" w:ascii="Times New Roman" w:hAnsi="Times New Roman" w:eastAsia="仿宋_GB2312"/>
                      <w:sz w:val="22"/>
                      <w:highlight w:val="none"/>
                    </w:rPr>
                    <w:t>总所报价的，分支机构人员可纳入评审；分支机构报价的，总所人员不可纳入评审。</w:t>
                  </w:r>
                </w:p>
              </w:tc>
              <w:tc>
                <w:tcPr>
                  <w:tcW w:w="3846" w:type="dxa"/>
                  <w:vAlign w:val="center"/>
                </w:tcPr>
                <w:p w14:paraId="09283664">
                  <w:pPr>
                    <w:rPr>
                      <w:rFonts w:ascii="Times New Roman" w:hAnsi="Times New Roman" w:eastAsia="仿宋_GB2312"/>
                      <w:sz w:val="22"/>
                      <w:highlight w:val="none"/>
                    </w:rPr>
                  </w:pPr>
                  <w:r>
                    <w:rPr>
                      <w:rFonts w:hint="eastAsia" w:ascii="Times New Roman" w:hAnsi="Times New Roman" w:eastAsia="仿宋_GB2312"/>
                      <w:sz w:val="22"/>
                      <w:highlight w:val="none"/>
                    </w:rPr>
                    <w:t>8个及以上4分；</w:t>
                  </w:r>
                </w:p>
                <w:p w14:paraId="08F97FFF">
                  <w:pPr>
                    <w:rPr>
                      <w:rFonts w:ascii="Times New Roman" w:hAnsi="Times New Roman" w:eastAsia="仿宋_GB2312"/>
                      <w:sz w:val="22"/>
                      <w:highlight w:val="none"/>
                    </w:rPr>
                  </w:pPr>
                  <w:r>
                    <w:rPr>
                      <w:rFonts w:hint="eastAsia" w:ascii="Times New Roman" w:hAnsi="Times New Roman" w:eastAsia="仿宋_GB2312"/>
                      <w:sz w:val="22"/>
                      <w:highlight w:val="none"/>
                    </w:rPr>
                    <w:t>5-7个3分；</w:t>
                  </w:r>
                </w:p>
                <w:p w14:paraId="37C56EF0">
                  <w:pPr>
                    <w:rPr>
                      <w:rFonts w:ascii="Times New Roman" w:hAnsi="Times New Roman" w:eastAsia="仿宋_GB2312"/>
                      <w:sz w:val="22"/>
                      <w:highlight w:val="none"/>
                    </w:rPr>
                  </w:pPr>
                  <w:r>
                    <w:rPr>
                      <w:rFonts w:hint="eastAsia" w:ascii="Times New Roman" w:hAnsi="Times New Roman" w:eastAsia="仿宋_GB2312"/>
                      <w:sz w:val="22"/>
                      <w:highlight w:val="none"/>
                    </w:rPr>
                    <w:t>4个及以下2分；</w:t>
                  </w:r>
                </w:p>
                <w:p w14:paraId="711AB55D">
                  <w:pPr>
                    <w:rPr>
                      <w:rFonts w:ascii="Times New Roman" w:hAnsi="Times New Roman" w:eastAsia="仿宋_GB2312"/>
                      <w:sz w:val="22"/>
                      <w:highlight w:val="none"/>
                    </w:rPr>
                  </w:pPr>
                  <w:r>
                    <w:rPr>
                      <w:rFonts w:hint="eastAsia" w:ascii="Times New Roman" w:hAnsi="Times New Roman" w:eastAsia="仿宋_GB2312"/>
                      <w:sz w:val="22"/>
                      <w:highlight w:val="none"/>
                    </w:rPr>
                    <w:t>不提供得0分。</w:t>
                  </w:r>
                </w:p>
              </w:tc>
            </w:tr>
            <w:tr w14:paraId="26087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781" w:type="dxa"/>
                  <w:vAlign w:val="center"/>
                </w:tcPr>
                <w:p w14:paraId="54CAAF4B">
                  <w:pPr>
                    <w:jc w:val="center"/>
                    <w:rPr>
                      <w:rFonts w:ascii="Times New Roman" w:hAnsi="Times New Roman" w:eastAsia="仿宋_GB2312"/>
                      <w:sz w:val="22"/>
                      <w:highlight w:val="none"/>
                    </w:rPr>
                  </w:pPr>
                  <w:r>
                    <w:rPr>
                      <w:rFonts w:hint="eastAsia" w:ascii="Times New Roman" w:hAnsi="Times New Roman" w:eastAsia="仿宋_GB2312"/>
                      <w:sz w:val="22"/>
                      <w:highlight w:val="none"/>
                    </w:rPr>
                    <w:t>3</w:t>
                  </w:r>
                </w:p>
              </w:tc>
              <w:tc>
                <w:tcPr>
                  <w:tcW w:w="1855" w:type="dxa"/>
                  <w:gridSpan w:val="2"/>
                  <w:vAlign w:val="center"/>
                </w:tcPr>
                <w:p w14:paraId="13307FB3">
                  <w:pPr>
                    <w:jc w:val="center"/>
                    <w:rPr>
                      <w:rFonts w:ascii="Times New Roman" w:hAnsi="Times New Roman" w:eastAsia="仿宋_GB2312"/>
                      <w:sz w:val="22"/>
                      <w:highlight w:val="none"/>
                    </w:rPr>
                  </w:pPr>
                  <w:r>
                    <w:rPr>
                      <w:rFonts w:hint="eastAsia" w:ascii="Times New Roman" w:hAnsi="Times New Roman" w:eastAsia="仿宋_GB2312"/>
                      <w:sz w:val="22"/>
                      <w:highlight w:val="none"/>
                    </w:rPr>
                    <w:t>项目经验（10分）</w:t>
                  </w:r>
                </w:p>
              </w:tc>
              <w:tc>
                <w:tcPr>
                  <w:tcW w:w="2907" w:type="dxa"/>
                  <w:vAlign w:val="center"/>
                </w:tcPr>
                <w:p w14:paraId="65C87C1D">
                  <w:pPr>
                    <w:rPr>
                      <w:rFonts w:ascii="Times New Roman" w:hAnsi="Times New Roman" w:eastAsia="仿宋_GB2312"/>
                      <w:sz w:val="22"/>
                      <w:highlight w:val="none"/>
                    </w:rPr>
                  </w:pPr>
                  <w:r>
                    <w:rPr>
                      <w:rFonts w:hint="eastAsia" w:ascii="Times New Roman" w:hAnsi="Times New Roman" w:eastAsia="仿宋_GB2312"/>
                      <w:sz w:val="22"/>
                      <w:highlight w:val="none"/>
                    </w:rPr>
                    <w:t>类似项目经验：</w:t>
                  </w:r>
                </w:p>
                <w:p w14:paraId="5846DE0A">
                  <w:pPr>
                    <w:widowControl/>
                    <w:numPr>
                      <w:ilvl w:val="0"/>
                      <w:numId w:val="1"/>
                    </w:numPr>
                    <w:jc w:val="left"/>
                    <w:rPr>
                      <w:rFonts w:ascii="Times New Roman" w:hAnsi="Times New Roman" w:eastAsia="仿宋_GB2312"/>
                      <w:sz w:val="22"/>
                      <w:highlight w:val="none"/>
                    </w:rPr>
                  </w:pPr>
                  <w:r>
                    <w:rPr>
                      <w:rFonts w:hint="eastAsia" w:ascii="Times New Roman" w:hAnsi="Times New Roman" w:eastAsia="仿宋_GB2312"/>
                      <w:sz w:val="22"/>
                      <w:highlight w:val="none"/>
                    </w:rPr>
                    <w:t>依据2021年至今完成的同类型广东省</w:t>
                  </w:r>
                  <w:r>
                    <w:rPr>
                      <w:rFonts w:ascii="Times New Roman" w:hAnsi="Times New Roman" w:eastAsia="仿宋_GB2312"/>
                      <w:sz w:val="22"/>
                      <w:highlight w:val="none"/>
                    </w:rPr>
                    <w:t>属、</w:t>
                  </w:r>
                  <w:r>
                    <w:rPr>
                      <w:rFonts w:hint="eastAsia" w:ascii="Times New Roman" w:hAnsi="Times New Roman" w:eastAsia="仿宋_GB2312"/>
                      <w:sz w:val="22"/>
                      <w:highlight w:val="none"/>
                    </w:rPr>
                    <w:t>广州市属</w:t>
                  </w:r>
                  <w:r>
                    <w:rPr>
                      <w:rFonts w:ascii="Times New Roman" w:hAnsi="Times New Roman" w:eastAsia="仿宋_GB2312"/>
                      <w:sz w:val="22"/>
                      <w:highlight w:val="none"/>
                    </w:rPr>
                    <w:t>、</w:t>
                  </w:r>
                  <w:r>
                    <w:rPr>
                      <w:rFonts w:hint="eastAsia" w:ascii="Times New Roman" w:hAnsi="Times New Roman" w:eastAsia="仿宋_GB2312"/>
                      <w:sz w:val="22"/>
                      <w:highlight w:val="none"/>
                    </w:rPr>
                    <w:t>开发区</w:t>
                  </w:r>
                  <w:r>
                    <w:rPr>
                      <w:rFonts w:ascii="Times New Roman" w:hAnsi="Times New Roman" w:eastAsia="仿宋_GB2312"/>
                      <w:sz w:val="22"/>
                      <w:highlight w:val="none"/>
                    </w:rPr>
                    <w:t>属</w:t>
                  </w:r>
                  <w:r>
                    <w:rPr>
                      <w:rFonts w:hint="eastAsia" w:ascii="Times New Roman" w:hAnsi="Times New Roman" w:eastAsia="仿宋_GB2312"/>
                      <w:sz w:val="22"/>
                      <w:highlight w:val="none"/>
                    </w:rPr>
                    <w:t>国有企业集团公司主审事务所工作经验。</w:t>
                  </w:r>
                </w:p>
                <w:p w14:paraId="702F09CD">
                  <w:pPr>
                    <w:widowControl/>
                    <w:numPr>
                      <w:ilvl w:val="0"/>
                      <w:numId w:val="1"/>
                    </w:numPr>
                    <w:jc w:val="left"/>
                    <w:rPr>
                      <w:rFonts w:ascii="Times New Roman" w:hAnsi="Times New Roman" w:eastAsia="仿宋_GB2312"/>
                      <w:sz w:val="22"/>
                      <w:highlight w:val="none"/>
                    </w:rPr>
                  </w:pPr>
                  <w:r>
                    <w:rPr>
                      <w:rFonts w:hint="eastAsia" w:ascii="Times New Roman" w:hAnsi="Times New Roman" w:eastAsia="仿宋_GB2312"/>
                      <w:sz w:val="22"/>
                      <w:highlight w:val="none"/>
                    </w:rPr>
                    <w:t>报价人2021年至今完成大型企业集团报表审计项目经验。</w:t>
                  </w:r>
                </w:p>
                <w:p w14:paraId="07334AF8">
                  <w:pPr>
                    <w:rPr>
                      <w:rFonts w:ascii="Times New Roman" w:hAnsi="Times New Roman" w:eastAsia="仿宋_GB2312"/>
                      <w:sz w:val="22"/>
                      <w:highlight w:val="none"/>
                    </w:rPr>
                  </w:pPr>
                  <w:r>
                    <w:rPr>
                      <w:rFonts w:hint="eastAsia" w:ascii="Times New Roman" w:hAnsi="Times New Roman" w:eastAsia="仿宋_GB2312"/>
                      <w:sz w:val="22"/>
                      <w:highlight w:val="none"/>
                    </w:rPr>
                    <w:t>备注：提供合同复印件或报告签字页并加盖公章，请报价人严格按照要求提交相关证明材料，否则有可能影响评审结果。</w:t>
                  </w:r>
                </w:p>
              </w:tc>
              <w:tc>
                <w:tcPr>
                  <w:tcW w:w="3846" w:type="dxa"/>
                  <w:vAlign w:val="center"/>
                </w:tcPr>
                <w:p w14:paraId="4E8CCF58">
                  <w:pPr>
                    <w:autoSpaceDE w:val="0"/>
                    <w:autoSpaceDN w:val="0"/>
                    <w:rPr>
                      <w:rFonts w:ascii="Times New Roman" w:hAnsi="Times New Roman" w:eastAsia="仿宋_GB2312"/>
                      <w:sz w:val="22"/>
                      <w:highlight w:val="none"/>
                    </w:rPr>
                  </w:pPr>
                  <w:r>
                    <w:rPr>
                      <w:rFonts w:hint="eastAsia" w:ascii="Times New Roman" w:hAnsi="Times New Roman" w:eastAsia="仿宋_GB2312"/>
                      <w:sz w:val="22"/>
                      <w:highlight w:val="none"/>
                    </w:rPr>
                    <w:t>1）每提供一个国有企业项目经验得1分，最高得5分。</w:t>
                  </w:r>
                </w:p>
                <w:p w14:paraId="0C4EBDF5">
                  <w:pPr>
                    <w:autoSpaceDE w:val="0"/>
                    <w:autoSpaceDN w:val="0"/>
                    <w:rPr>
                      <w:rFonts w:ascii="Times New Roman" w:hAnsi="Times New Roman" w:eastAsia="仿宋_GB2312"/>
                      <w:sz w:val="22"/>
                      <w:highlight w:val="none"/>
                    </w:rPr>
                  </w:pPr>
                  <w:r>
                    <w:rPr>
                      <w:rFonts w:ascii="Times New Roman" w:hAnsi="Times New Roman" w:eastAsia="仿宋_GB2312"/>
                      <w:sz w:val="22"/>
                      <w:highlight w:val="none"/>
                    </w:rPr>
                    <w:t>2</w:t>
                  </w:r>
                  <w:r>
                    <w:rPr>
                      <w:rFonts w:hint="eastAsia" w:ascii="Times New Roman" w:hAnsi="Times New Roman" w:eastAsia="仿宋_GB2312"/>
                      <w:sz w:val="22"/>
                      <w:highlight w:val="none"/>
                    </w:rPr>
                    <w:t>）每提供一个国有企业集团资产总额</w:t>
                  </w:r>
                  <w:r>
                    <w:rPr>
                      <w:rFonts w:ascii="Times New Roman" w:hAnsi="Times New Roman" w:eastAsia="仿宋_GB2312"/>
                      <w:sz w:val="22"/>
                      <w:highlight w:val="none"/>
                    </w:rPr>
                    <w:t>5</w:t>
                  </w:r>
                  <w:r>
                    <w:rPr>
                      <w:rFonts w:hint="eastAsia" w:ascii="Times New Roman" w:hAnsi="Times New Roman" w:eastAsia="仿宋_GB2312"/>
                      <w:sz w:val="22"/>
                      <w:highlight w:val="none"/>
                    </w:rPr>
                    <w:t>亿元及以上的年度合并财务报表审计项目经验得1分，最高得5分。（同一企业连续审计的，不重复计算）。</w:t>
                  </w:r>
                </w:p>
                <w:p w14:paraId="2FB2AE7F">
                  <w:pPr>
                    <w:autoSpaceDE w:val="0"/>
                    <w:autoSpaceDN w:val="0"/>
                    <w:rPr>
                      <w:rFonts w:ascii="Times New Roman" w:hAnsi="Times New Roman" w:eastAsia="仿宋_GB2312"/>
                      <w:sz w:val="22"/>
                      <w:highlight w:val="none"/>
                    </w:rPr>
                  </w:pPr>
                </w:p>
              </w:tc>
            </w:tr>
            <w:tr w14:paraId="2A437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9" w:hRule="atLeast"/>
                <w:jc w:val="center"/>
              </w:trPr>
              <w:tc>
                <w:tcPr>
                  <w:tcW w:w="781" w:type="dxa"/>
                  <w:vAlign w:val="center"/>
                </w:tcPr>
                <w:p w14:paraId="31C91840">
                  <w:pPr>
                    <w:jc w:val="center"/>
                    <w:rPr>
                      <w:rFonts w:ascii="Times New Roman" w:hAnsi="Times New Roman" w:eastAsia="仿宋_GB2312"/>
                      <w:sz w:val="22"/>
                      <w:highlight w:val="none"/>
                    </w:rPr>
                  </w:pPr>
                  <w:r>
                    <w:rPr>
                      <w:rFonts w:hint="eastAsia" w:ascii="Times New Roman" w:hAnsi="Times New Roman" w:eastAsia="仿宋_GB2312"/>
                      <w:sz w:val="22"/>
                      <w:highlight w:val="none"/>
                    </w:rPr>
                    <w:t>4</w:t>
                  </w:r>
                </w:p>
              </w:tc>
              <w:tc>
                <w:tcPr>
                  <w:tcW w:w="1855" w:type="dxa"/>
                  <w:gridSpan w:val="2"/>
                  <w:vAlign w:val="center"/>
                </w:tcPr>
                <w:p w14:paraId="2CF82DF6">
                  <w:pPr>
                    <w:jc w:val="center"/>
                    <w:rPr>
                      <w:rFonts w:ascii="Times New Roman" w:hAnsi="Times New Roman" w:eastAsia="仿宋_GB2312"/>
                      <w:sz w:val="22"/>
                      <w:highlight w:val="none"/>
                    </w:rPr>
                  </w:pPr>
                  <w:r>
                    <w:rPr>
                      <w:rFonts w:hint="eastAsia" w:ascii="Times New Roman" w:hAnsi="Times New Roman" w:eastAsia="仿宋_GB2312"/>
                      <w:sz w:val="22"/>
                      <w:highlight w:val="none"/>
                    </w:rPr>
                    <w:t>工作方案</w:t>
                  </w:r>
                </w:p>
                <w:p w14:paraId="58567CC5">
                  <w:pPr>
                    <w:jc w:val="center"/>
                    <w:rPr>
                      <w:rFonts w:ascii="Times New Roman" w:hAnsi="Times New Roman" w:eastAsia="仿宋_GB2312"/>
                      <w:sz w:val="22"/>
                      <w:highlight w:val="none"/>
                    </w:rPr>
                  </w:pPr>
                  <w:r>
                    <w:rPr>
                      <w:rFonts w:hint="eastAsia" w:ascii="Times New Roman" w:hAnsi="Times New Roman" w:eastAsia="仿宋_GB2312"/>
                      <w:sz w:val="22"/>
                      <w:highlight w:val="none"/>
                    </w:rPr>
                    <w:t>评比</w:t>
                  </w:r>
                </w:p>
                <w:p w14:paraId="35E81BF0">
                  <w:pPr>
                    <w:jc w:val="center"/>
                    <w:rPr>
                      <w:rFonts w:ascii="Times New Roman" w:hAnsi="Times New Roman" w:eastAsia="仿宋_GB2312"/>
                      <w:sz w:val="22"/>
                      <w:highlight w:val="none"/>
                    </w:rPr>
                  </w:pPr>
                  <w:r>
                    <w:rPr>
                      <w:rFonts w:hint="eastAsia" w:ascii="Times New Roman" w:hAnsi="Times New Roman" w:eastAsia="仿宋_GB2312"/>
                      <w:sz w:val="22"/>
                      <w:highlight w:val="none"/>
                    </w:rPr>
                    <w:t>（8分）</w:t>
                  </w:r>
                </w:p>
              </w:tc>
              <w:tc>
                <w:tcPr>
                  <w:tcW w:w="2907" w:type="dxa"/>
                  <w:vAlign w:val="center"/>
                </w:tcPr>
                <w:p w14:paraId="65957F23">
                  <w:pPr>
                    <w:rPr>
                      <w:rFonts w:ascii="Times New Roman" w:hAnsi="Times New Roman" w:eastAsia="仿宋_GB2312"/>
                      <w:sz w:val="22"/>
                      <w:highlight w:val="none"/>
                    </w:rPr>
                  </w:pPr>
                  <w:r>
                    <w:rPr>
                      <w:rFonts w:hint="eastAsia" w:ascii="Times New Roman" w:hAnsi="Times New Roman" w:eastAsia="仿宋_GB2312"/>
                      <w:sz w:val="22"/>
                      <w:highlight w:val="none"/>
                    </w:rPr>
                    <w:t>审计工作方案：工作方案能体现对审计对象行业板块、财务核算管理等特点，有深入的了解，审计目标明确，审计内容与重点突出，审计程序与方法得当，能够满足国有企业的实际需求，审计组织与时间分配合理。</w:t>
                  </w:r>
                </w:p>
              </w:tc>
              <w:tc>
                <w:tcPr>
                  <w:tcW w:w="3846" w:type="dxa"/>
                  <w:vAlign w:val="center"/>
                </w:tcPr>
                <w:p w14:paraId="59AB1CAA">
                  <w:pPr>
                    <w:rPr>
                      <w:rFonts w:ascii="Times New Roman" w:hAnsi="Times New Roman" w:eastAsia="仿宋_GB2312"/>
                      <w:sz w:val="22"/>
                      <w:highlight w:val="none"/>
                    </w:rPr>
                  </w:pPr>
                  <w:r>
                    <w:rPr>
                      <w:rFonts w:hint="eastAsia" w:ascii="Times New Roman" w:hAnsi="Times New Roman" w:eastAsia="仿宋_GB2312"/>
                      <w:sz w:val="22"/>
                      <w:highlight w:val="none"/>
                    </w:rPr>
                    <w:t>横向对比各报价人提供的审计工作方案</w:t>
                  </w:r>
                </w:p>
                <w:p w14:paraId="44A592B6">
                  <w:pPr>
                    <w:rPr>
                      <w:rFonts w:ascii="Times New Roman" w:hAnsi="Times New Roman" w:eastAsia="仿宋_GB2312"/>
                      <w:sz w:val="22"/>
                      <w:highlight w:val="none"/>
                    </w:rPr>
                  </w:pPr>
                  <w:r>
                    <w:rPr>
                      <w:rFonts w:hint="eastAsia" w:ascii="Times New Roman" w:hAnsi="Times New Roman" w:eastAsia="仿宋_GB2312"/>
                      <w:sz w:val="22"/>
                      <w:highlight w:val="none"/>
                    </w:rPr>
                    <w:t>优，得8分。</w:t>
                  </w:r>
                </w:p>
                <w:p w14:paraId="0EA986E0">
                  <w:pPr>
                    <w:rPr>
                      <w:rFonts w:ascii="Times New Roman" w:hAnsi="Times New Roman" w:eastAsia="仿宋_GB2312"/>
                      <w:sz w:val="22"/>
                      <w:highlight w:val="none"/>
                    </w:rPr>
                  </w:pPr>
                  <w:r>
                    <w:rPr>
                      <w:rFonts w:hint="eastAsia" w:ascii="Times New Roman" w:hAnsi="Times New Roman" w:eastAsia="仿宋_GB2312"/>
                      <w:sz w:val="22"/>
                      <w:highlight w:val="none"/>
                    </w:rPr>
                    <w:t>良，得6分。</w:t>
                  </w:r>
                </w:p>
                <w:p w14:paraId="3E04AC4F">
                  <w:pPr>
                    <w:rPr>
                      <w:rFonts w:ascii="Times New Roman" w:hAnsi="Times New Roman" w:eastAsia="仿宋_GB2312"/>
                      <w:sz w:val="22"/>
                      <w:highlight w:val="none"/>
                    </w:rPr>
                  </w:pPr>
                  <w:r>
                    <w:rPr>
                      <w:rFonts w:hint="eastAsia" w:ascii="Times New Roman" w:hAnsi="Times New Roman" w:eastAsia="仿宋_GB2312"/>
                      <w:sz w:val="22"/>
                      <w:highlight w:val="none"/>
                    </w:rPr>
                    <w:t>中，得3分。</w:t>
                  </w:r>
                </w:p>
                <w:p w14:paraId="65F00124">
                  <w:pPr>
                    <w:rPr>
                      <w:rFonts w:ascii="Times New Roman" w:hAnsi="Times New Roman" w:eastAsia="仿宋_GB2312"/>
                      <w:sz w:val="22"/>
                      <w:highlight w:val="none"/>
                    </w:rPr>
                  </w:pPr>
                  <w:r>
                    <w:rPr>
                      <w:rFonts w:hint="eastAsia" w:ascii="Times New Roman" w:hAnsi="Times New Roman" w:eastAsia="仿宋_GB2312"/>
                      <w:sz w:val="22"/>
                      <w:highlight w:val="none"/>
                    </w:rPr>
                    <w:t>差，得0分。</w:t>
                  </w:r>
                </w:p>
              </w:tc>
            </w:tr>
            <w:tr w14:paraId="5CC83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jc w:val="center"/>
              </w:trPr>
              <w:tc>
                <w:tcPr>
                  <w:tcW w:w="781" w:type="dxa"/>
                  <w:vAlign w:val="center"/>
                </w:tcPr>
                <w:p w14:paraId="75801783">
                  <w:pPr>
                    <w:jc w:val="center"/>
                    <w:rPr>
                      <w:rFonts w:ascii="Times New Roman" w:hAnsi="Times New Roman" w:eastAsia="仿宋_GB2312"/>
                      <w:sz w:val="22"/>
                      <w:highlight w:val="none"/>
                    </w:rPr>
                  </w:pPr>
                  <w:r>
                    <w:rPr>
                      <w:rFonts w:hint="eastAsia" w:ascii="Times New Roman" w:hAnsi="Times New Roman" w:eastAsia="仿宋_GB2312"/>
                      <w:sz w:val="22"/>
                      <w:highlight w:val="none"/>
                    </w:rPr>
                    <w:t>5</w:t>
                  </w:r>
                </w:p>
              </w:tc>
              <w:tc>
                <w:tcPr>
                  <w:tcW w:w="1855" w:type="dxa"/>
                  <w:gridSpan w:val="2"/>
                  <w:vAlign w:val="center"/>
                </w:tcPr>
                <w:p w14:paraId="256F4731">
                  <w:pPr>
                    <w:jc w:val="center"/>
                    <w:rPr>
                      <w:rFonts w:ascii="Times New Roman" w:hAnsi="Times New Roman" w:eastAsia="仿宋_GB2312"/>
                      <w:sz w:val="22"/>
                      <w:highlight w:val="none"/>
                    </w:rPr>
                  </w:pPr>
                  <w:r>
                    <w:rPr>
                      <w:rFonts w:hint="eastAsia" w:ascii="Times New Roman" w:hAnsi="Times New Roman" w:eastAsia="仿宋_GB2312"/>
                      <w:sz w:val="22"/>
                      <w:highlight w:val="none"/>
                    </w:rPr>
                    <w:t>质量管理水平（40分）</w:t>
                  </w:r>
                </w:p>
              </w:tc>
              <w:tc>
                <w:tcPr>
                  <w:tcW w:w="2907" w:type="dxa"/>
                  <w:vAlign w:val="center"/>
                </w:tcPr>
                <w:p w14:paraId="7F3E3A4D">
                  <w:pPr>
                    <w:rPr>
                      <w:rFonts w:ascii="Times New Roman" w:hAnsi="Times New Roman" w:eastAsia="仿宋_GB2312"/>
                      <w:sz w:val="22"/>
                      <w:highlight w:val="none"/>
                    </w:rPr>
                  </w:pPr>
                  <w:r>
                    <w:rPr>
                      <w:rFonts w:hint="eastAsia" w:ascii="Times New Roman" w:hAnsi="Times New Roman" w:eastAsia="仿宋_GB2312"/>
                      <w:sz w:val="22"/>
                      <w:highlight w:val="none"/>
                    </w:rPr>
                    <w:t>供应商应提供质量管理制度及实施方案，包括但不限于项目咨询、意见分歧解决、项目质量复核、项目质量检查、质量管理缺陷识别与整改等方面。</w:t>
                  </w:r>
                </w:p>
                <w:p w14:paraId="30FFF7CA">
                  <w:pPr>
                    <w:rPr>
                      <w:rFonts w:ascii="Times New Roman" w:hAnsi="Times New Roman" w:eastAsia="仿宋_GB2312"/>
                      <w:sz w:val="22"/>
                      <w:highlight w:val="none"/>
                    </w:rPr>
                  </w:pPr>
                </w:p>
              </w:tc>
              <w:tc>
                <w:tcPr>
                  <w:tcW w:w="3846" w:type="dxa"/>
                  <w:vAlign w:val="center"/>
                </w:tcPr>
                <w:p w14:paraId="5AFB47B1">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1.项目咨询</w:t>
                  </w:r>
                </w:p>
                <w:p w14:paraId="5A74E68D">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优：方案优秀，全面、合理，可行性高，方案重点突出，得8分；</w:t>
                  </w:r>
                </w:p>
                <w:p w14:paraId="1B3DFB40">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良：方案良好，较为全面，可行性较高，方案重点较为突出，得4分；</w:t>
                  </w:r>
                </w:p>
                <w:p w14:paraId="26300D3F">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中：方案一般，有一定可行性，方案有重点，得1分；</w:t>
                  </w:r>
                </w:p>
                <w:p w14:paraId="4E45B95F">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差：方案差，不具备可行性，方案没有重点，不得分；</w:t>
                  </w:r>
                </w:p>
                <w:p w14:paraId="40032F11">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不提供不得分。</w:t>
                  </w:r>
                </w:p>
                <w:p w14:paraId="2E433C2F">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2.意见分歧解决</w:t>
                  </w:r>
                </w:p>
                <w:p w14:paraId="47DE8053">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优：方案优秀，全面、合理，可行性高，方案重点突出，得8分；</w:t>
                  </w:r>
                </w:p>
                <w:p w14:paraId="68FB4657">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良：方案良好，较为全面，可行性较高，方案重点较为突出，得4分；</w:t>
                  </w:r>
                </w:p>
                <w:p w14:paraId="24018A2A">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中：方案一般，有一定可行性，方案有重点，得1分；</w:t>
                  </w:r>
                </w:p>
                <w:p w14:paraId="56FD20BC">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差：方案差，不具备可行性，方案没有重点，不得分；</w:t>
                  </w:r>
                </w:p>
                <w:p w14:paraId="1A81CDCC">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不提供不得分</w:t>
                  </w:r>
                </w:p>
                <w:p w14:paraId="34812179">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3.项目质量复核</w:t>
                  </w:r>
                </w:p>
                <w:p w14:paraId="3E94E49A">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优：方案优秀，全面、合理，可行性高，方案重点突出，得8分；</w:t>
                  </w:r>
                </w:p>
                <w:p w14:paraId="2A32981B">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良：方案良好，较为全面，可行性较高，方案重点较为突出，得4分；</w:t>
                  </w:r>
                </w:p>
                <w:p w14:paraId="73D215E4">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中：方案一般，有一定可行性，方案有重点，得1分；</w:t>
                  </w:r>
                </w:p>
                <w:p w14:paraId="61187751">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差：方案差，不具备可行性，方案没有重点，不得分；</w:t>
                  </w:r>
                </w:p>
                <w:p w14:paraId="221CC40C">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不提供不得分</w:t>
                  </w:r>
                </w:p>
                <w:p w14:paraId="3EC11D7F">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4.项目质量检查</w:t>
                  </w:r>
                </w:p>
                <w:p w14:paraId="7E074524">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优：方案优秀，全面、合理，可行性高，方案重点突出，得8分；</w:t>
                  </w:r>
                </w:p>
                <w:p w14:paraId="1AF03BF3">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良：方案良好，较为全面，可行性较高，方案重点较为突出，得4分；</w:t>
                  </w:r>
                </w:p>
                <w:p w14:paraId="6143C93B">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中：方案一般，有一定可行性，方案有重点，得1分；</w:t>
                  </w:r>
                </w:p>
                <w:p w14:paraId="50460AA6">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差：方案差，不具备可行性，方案没有重点，不得分；</w:t>
                  </w:r>
                </w:p>
                <w:p w14:paraId="3218A958">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不提供不得分</w:t>
                  </w:r>
                </w:p>
                <w:p w14:paraId="017A6021">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5.质量管理缺陷识别与整改</w:t>
                  </w:r>
                </w:p>
                <w:p w14:paraId="767C6CC5">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优：方案优秀，全面、合理，可行性高，方案重点突出，得8分；</w:t>
                  </w:r>
                </w:p>
                <w:p w14:paraId="7E6A828B">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良：方案良好，较为全面，可行性较高，方案重点较为突出，得4分；</w:t>
                  </w:r>
                </w:p>
                <w:p w14:paraId="5D5E99BD">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中：方案一般，有一定可行性，方案有重点，得1分；</w:t>
                  </w:r>
                </w:p>
                <w:p w14:paraId="76D3B574">
                  <w:pPr>
                    <w:pStyle w:val="2"/>
                    <w:ind w:left="0" w:leftChars="0"/>
                    <w:rPr>
                      <w:rFonts w:ascii="Times New Roman" w:hAnsi="Times New Roman" w:eastAsia="仿宋_GB2312"/>
                      <w:sz w:val="22"/>
                      <w:szCs w:val="22"/>
                      <w:highlight w:val="none"/>
                    </w:rPr>
                  </w:pPr>
                  <w:r>
                    <w:rPr>
                      <w:rFonts w:hint="eastAsia" w:ascii="Times New Roman" w:hAnsi="Times New Roman" w:eastAsia="仿宋_GB2312"/>
                      <w:sz w:val="22"/>
                      <w:szCs w:val="22"/>
                      <w:highlight w:val="none"/>
                    </w:rPr>
                    <w:t>差：方案差，不具备可行性，方案没有重点，不得分；</w:t>
                  </w:r>
                </w:p>
                <w:p w14:paraId="1716BEAF">
                  <w:pPr>
                    <w:pStyle w:val="2"/>
                    <w:ind w:left="0" w:leftChars="0"/>
                    <w:rPr>
                      <w:rFonts w:ascii="Times New Roman" w:hAnsi="Times New Roman"/>
                      <w:highlight w:val="none"/>
                    </w:rPr>
                  </w:pPr>
                  <w:r>
                    <w:rPr>
                      <w:rFonts w:hint="eastAsia" w:ascii="Times New Roman" w:hAnsi="Times New Roman" w:eastAsia="仿宋_GB2312"/>
                      <w:sz w:val="22"/>
                      <w:szCs w:val="22"/>
                      <w:highlight w:val="none"/>
                    </w:rPr>
                    <w:t>不提供不得分</w:t>
                  </w:r>
                </w:p>
              </w:tc>
            </w:tr>
            <w:tr w14:paraId="5F50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jc w:val="center"/>
              </w:trPr>
              <w:tc>
                <w:tcPr>
                  <w:tcW w:w="781" w:type="dxa"/>
                  <w:vAlign w:val="center"/>
                </w:tcPr>
                <w:p w14:paraId="7E944828">
                  <w:pPr>
                    <w:jc w:val="center"/>
                    <w:rPr>
                      <w:rFonts w:ascii="Times New Roman" w:hAnsi="Times New Roman" w:eastAsia="仿宋_GB2312"/>
                      <w:sz w:val="22"/>
                      <w:highlight w:val="none"/>
                    </w:rPr>
                  </w:pPr>
                  <w:r>
                    <w:rPr>
                      <w:rFonts w:hint="eastAsia" w:ascii="Times New Roman" w:hAnsi="Times New Roman" w:eastAsia="仿宋_GB2312"/>
                      <w:sz w:val="22"/>
                      <w:highlight w:val="none"/>
                    </w:rPr>
                    <w:t>6</w:t>
                  </w:r>
                </w:p>
              </w:tc>
              <w:tc>
                <w:tcPr>
                  <w:tcW w:w="1855" w:type="dxa"/>
                  <w:gridSpan w:val="2"/>
                  <w:vAlign w:val="center"/>
                </w:tcPr>
                <w:p w14:paraId="04373926">
                  <w:pPr>
                    <w:jc w:val="center"/>
                    <w:rPr>
                      <w:rFonts w:ascii="Times New Roman" w:hAnsi="Times New Roman" w:eastAsia="仿宋_GB2312"/>
                      <w:sz w:val="22"/>
                      <w:highlight w:val="none"/>
                    </w:rPr>
                  </w:pPr>
                  <w:r>
                    <w:rPr>
                      <w:rFonts w:hint="eastAsia" w:ascii="Times New Roman" w:hAnsi="Times New Roman" w:eastAsia="仿宋_GB2312"/>
                      <w:sz w:val="22"/>
                      <w:highlight w:val="none"/>
                    </w:rPr>
                    <w:t>风险承担能力（10分）</w:t>
                  </w:r>
                </w:p>
              </w:tc>
              <w:tc>
                <w:tcPr>
                  <w:tcW w:w="2907" w:type="dxa"/>
                  <w:vAlign w:val="center"/>
                </w:tcPr>
                <w:p w14:paraId="379AB3F7">
                  <w:pPr>
                    <w:rPr>
                      <w:rFonts w:ascii="Times New Roman" w:hAnsi="Times New Roman" w:eastAsia="仿宋_GB2312"/>
                      <w:sz w:val="22"/>
                      <w:highlight w:val="none"/>
                    </w:rPr>
                  </w:pPr>
                  <w:r>
                    <w:rPr>
                      <w:rFonts w:hint="eastAsia" w:ascii="Times New Roman" w:hAnsi="Times New Roman" w:eastAsia="仿宋_GB2312"/>
                      <w:sz w:val="22"/>
                      <w:highlight w:val="none"/>
                    </w:rPr>
                    <w:t>建立了风险预警机制、具备应对突发事件的能力</w:t>
                  </w:r>
                </w:p>
                <w:p w14:paraId="59DA4A6F">
                  <w:pPr>
                    <w:rPr>
                      <w:rFonts w:ascii="Times New Roman" w:hAnsi="Times New Roman" w:eastAsia="仿宋_GB2312"/>
                      <w:sz w:val="22"/>
                      <w:highlight w:val="none"/>
                    </w:rPr>
                  </w:pPr>
                </w:p>
              </w:tc>
              <w:tc>
                <w:tcPr>
                  <w:tcW w:w="3846" w:type="dxa"/>
                  <w:vAlign w:val="center"/>
                </w:tcPr>
                <w:p w14:paraId="6CA64839">
                  <w:pPr>
                    <w:rPr>
                      <w:rFonts w:ascii="Times New Roman" w:hAnsi="Times New Roman" w:eastAsia="仿宋_GB2312"/>
                      <w:sz w:val="22"/>
                      <w:highlight w:val="none"/>
                    </w:rPr>
                  </w:pPr>
                  <w:r>
                    <w:rPr>
                      <w:rFonts w:hint="eastAsia" w:ascii="Times New Roman" w:hAnsi="Times New Roman" w:eastAsia="仿宋_GB2312"/>
                      <w:sz w:val="22"/>
                      <w:highlight w:val="none"/>
                    </w:rPr>
                    <w:t>优：10分</w:t>
                  </w:r>
                </w:p>
                <w:p w14:paraId="5AF2E4F3">
                  <w:pPr>
                    <w:rPr>
                      <w:rFonts w:ascii="Times New Roman" w:hAnsi="Times New Roman" w:eastAsia="仿宋_GB2312"/>
                      <w:sz w:val="22"/>
                      <w:highlight w:val="none"/>
                    </w:rPr>
                  </w:pPr>
                  <w:r>
                    <w:rPr>
                      <w:rFonts w:hint="eastAsia" w:ascii="Times New Roman" w:hAnsi="Times New Roman" w:eastAsia="仿宋_GB2312"/>
                      <w:sz w:val="22"/>
                      <w:highlight w:val="none"/>
                    </w:rPr>
                    <w:t>良：7分</w:t>
                  </w:r>
                </w:p>
                <w:p w14:paraId="63CAD58F">
                  <w:pPr>
                    <w:rPr>
                      <w:rFonts w:ascii="Times New Roman" w:hAnsi="Times New Roman" w:eastAsia="仿宋_GB2312"/>
                      <w:sz w:val="22"/>
                      <w:highlight w:val="none"/>
                    </w:rPr>
                  </w:pPr>
                  <w:r>
                    <w:rPr>
                      <w:rFonts w:hint="eastAsia" w:ascii="Times New Roman" w:hAnsi="Times New Roman" w:eastAsia="仿宋_GB2312"/>
                      <w:sz w:val="22"/>
                      <w:highlight w:val="none"/>
                    </w:rPr>
                    <w:t>中：4分</w:t>
                  </w:r>
                </w:p>
                <w:p w14:paraId="06916149">
                  <w:pPr>
                    <w:pStyle w:val="2"/>
                    <w:ind w:left="0" w:leftChars="0"/>
                    <w:rPr>
                      <w:rFonts w:ascii="Times New Roman" w:hAnsi="Times New Roman"/>
                      <w:highlight w:val="none"/>
                    </w:rPr>
                  </w:pPr>
                  <w:r>
                    <w:rPr>
                      <w:rFonts w:hint="eastAsia" w:ascii="Times New Roman" w:hAnsi="Times New Roman" w:eastAsia="仿宋_GB2312"/>
                      <w:sz w:val="22"/>
                      <w:szCs w:val="22"/>
                      <w:highlight w:val="none"/>
                    </w:rPr>
                    <w:t>差：0分</w:t>
                  </w:r>
                </w:p>
              </w:tc>
            </w:tr>
          </w:tbl>
          <w:p w14:paraId="556358F0">
            <w:pPr>
              <w:adjustRightInd w:val="0"/>
              <w:snapToGrid w:val="0"/>
              <w:spacing w:before="156" w:beforeLines="50" w:after="156" w:afterLines="50" w:line="360" w:lineRule="exact"/>
              <w:rPr>
                <w:rFonts w:ascii="Times New Roman" w:hAnsi="Times New Roman" w:eastAsia="仿宋_GB2312"/>
                <w:snapToGrid w:val="0"/>
                <w:color w:val="000000"/>
                <w:kern w:val="0"/>
                <w:sz w:val="24"/>
                <w:szCs w:val="24"/>
                <w:highlight w:val="none"/>
              </w:rPr>
            </w:pPr>
          </w:p>
        </w:tc>
      </w:tr>
    </w:tbl>
    <w:p w14:paraId="06A7E20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8B383E"/>
    <w:multiLevelType w:val="singleLevel"/>
    <w:tmpl w:val="718B383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A083E"/>
    <w:rsid w:val="29955CC7"/>
    <w:rsid w:val="421945FF"/>
    <w:rsid w:val="44EA083E"/>
    <w:rsid w:val="60E36D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unhideWhenUsed/>
    <w:qFormat/>
    <w:uiPriority w:val="99"/>
    <w:pPr>
      <w:widowControl w:val="0"/>
      <w:ind w:left="420" w:leftChars="200"/>
      <w:jc w:val="both"/>
    </w:pPr>
    <w:rPr>
      <w:rFonts w:ascii="Calibri" w:hAnsi="Calibri" w:eastAsia="宋体" w:cs="Times New Roman"/>
      <w:kern w:val="2"/>
      <w:sz w:val="21"/>
      <w:szCs w:val="24"/>
      <w:lang w:val="en-US" w:eastAsia="zh-CN" w:bidi="ar-SA"/>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1955</Words>
  <Characters>2031</Characters>
  <Lines>0</Lines>
  <Paragraphs>0</Paragraphs>
  <TotalTime>6</TotalTime>
  <ScaleCrop>false</ScaleCrop>
  <LinksUpToDate>false</LinksUpToDate>
  <CharactersWithSpaces>2050</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2024-12-05T08:24:00Z</dcterms:created>
  <dc:creator>ld霞</dc:creator>
  <cp:lastModifiedBy>ld霞</cp:lastModifiedBy>
  <dcterms:modified xsi:type="dcterms:W3CDTF">2026-10-16T07:00:56Z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KSOTemplateDocerSaveRecord">
    <vt:lpwstr>eyJoZGlkIjoiOGEzNjQyYjQ1OTU4YjQ3ODg2Mzc0OWFiOWFkYjMwNmIiLCJ1c2VySWQiOiIxNDYzNDU5NzExIn0=</vt:lpwstr>
  </property>
  <property fmtid="{D5CDD505-2E9C-101B-9397-08002B2CF9AE}" pid="4" name="ICV">
    <vt:lpwstr>73FB034310644A8DAABD532B3A33E77A_13</vt:lpwstr>
  </property>
</Properties>
</file>